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68F14" w14:textId="77777777" w:rsidR="00444C3C" w:rsidRPr="00444C3C" w:rsidRDefault="00444C3C" w:rsidP="00444C3C">
      <w:pPr>
        <w:rPr>
          <w:b/>
          <w:bCs/>
        </w:rPr>
      </w:pPr>
      <w:r w:rsidRPr="00444C3C">
        <w:rPr>
          <w:b/>
          <w:bCs/>
        </w:rPr>
        <w:t>Policy Title: Regulatory Compliance for Appeal Writing</w:t>
      </w:r>
    </w:p>
    <w:p w14:paraId="227BEB5A" w14:textId="77777777" w:rsidR="00444C3C" w:rsidRDefault="00444C3C" w:rsidP="00444C3C">
      <w:r>
        <w:t>Department: Appeal Writing Unit</w:t>
      </w:r>
    </w:p>
    <w:p w14:paraId="0700A38E" w14:textId="77777777" w:rsidR="00444C3C" w:rsidRDefault="00444C3C" w:rsidP="00444C3C">
      <w:r>
        <w:t>Effective Date: [Insert Date]</w:t>
      </w:r>
    </w:p>
    <w:p w14:paraId="3E8F397B" w14:textId="77777777" w:rsidR="00444C3C" w:rsidRDefault="00444C3C" w:rsidP="00444C3C">
      <w:r>
        <w:t>Review Date: [Insert Date]</w:t>
      </w:r>
    </w:p>
    <w:p w14:paraId="179CF4AF" w14:textId="77777777" w:rsidR="00444C3C" w:rsidRDefault="00444C3C" w:rsidP="00444C3C">
      <w:r>
        <w:t>Approved By: [Insert Name/Title]</w:t>
      </w:r>
    </w:p>
    <w:p w14:paraId="7B639E9C" w14:textId="77777777" w:rsidR="00444C3C" w:rsidRDefault="00444C3C" w:rsidP="00444C3C"/>
    <w:p w14:paraId="37C8B9FD" w14:textId="77777777" w:rsidR="00444C3C" w:rsidRPr="00444C3C" w:rsidRDefault="00444C3C" w:rsidP="00444C3C">
      <w:pPr>
        <w:rPr>
          <w:b/>
          <w:bCs/>
        </w:rPr>
      </w:pPr>
      <w:r w:rsidRPr="00444C3C">
        <w:rPr>
          <w:b/>
          <w:bCs/>
        </w:rPr>
        <w:t>Policy Statement</w:t>
      </w:r>
    </w:p>
    <w:p w14:paraId="071FCD6E" w14:textId="1260D698" w:rsidR="00444C3C" w:rsidRDefault="00444C3C" w:rsidP="00444C3C">
      <w:r>
        <w:t>The Appeal Writing Unit will ensure all appeal activities adhere to applicable federal and state regulations, including HIPAA and patient privacy standards, payer-specific requirements, and contractual timelines for appeal submission. The unit is committed to maintaining the confidentiality, integrity, and security of patient information while ensuring timely and compliant appeal processes.</w:t>
      </w:r>
    </w:p>
    <w:p w14:paraId="6A18A4FD" w14:textId="77777777" w:rsidR="00444C3C" w:rsidRPr="00444C3C" w:rsidRDefault="00444C3C" w:rsidP="00444C3C">
      <w:pPr>
        <w:rPr>
          <w:b/>
          <w:bCs/>
        </w:rPr>
      </w:pPr>
      <w:r w:rsidRPr="00444C3C">
        <w:rPr>
          <w:b/>
          <w:bCs/>
        </w:rPr>
        <w:t>Procedures</w:t>
      </w:r>
    </w:p>
    <w:p w14:paraId="4E7E684F" w14:textId="77777777" w:rsidR="00444C3C" w:rsidRDefault="00444C3C" w:rsidP="00444C3C">
      <w:r w:rsidRPr="00444C3C">
        <w:rPr>
          <w:b/>
          <w:bCs/>
        </w:rPr>
        <w:t>1.</w:t>
      </w:r>
      <w:r>
        <w:t xml:space="preserve"> </w:t>
      </w:r>
      <w:r w:rsidRPr="00444C3C">
        <w:rPr>
          <w:b/>
          <w:bCs/>
        </w:rPr>
        <w:t>HIPAA and Patient Privacy Compliance</w:t>
      </w:r>
    </w:p>
    <w:p w14:paraId="627475D7" w14:textId="77777777" w:rsidR="00444C3C" w:rsidRDefault="00444C3C" w:rsidP="00444C3C">
      <w:pPr>
        <w:pStyle w:val="ListParagraph"/>
        <w:numPr>
          <w:ilvl w:val="0"/>
          <w:numId w:val="1"/>
        </w:numPr>
      </w:pPr>
      <w:r>
        <w:t>All staff involved in appeal writing must complete annual HIPAA training and demonstrate understanding of patient privacy requirements.</w:t>
      </w:r>
    </w:p>
    <w:p w14:paraId="28D99C76" w14:textId="77777777" w:rsidR="00444C3C" w:rsidRDefault="00444C3C" w:rsidP="00444C3C">
      <w:pPr>
        <w:pStyle w:val="ListParagraph"/>
        <w:numPr>
          <w:ilvl w:val="0"/>
          <w:numId w:val="1"/>
        </w:numPr>
      </w:pPr>
      <w:r>
        <w:t>Patient health information (PHI) used in appeal documentation must be accessed, used, and disclosed only as necessary for the purpose of the appeal.</w:t>
      </w:r>
    </w:p>
    <w:p w14:paraId="3F542F29" w14:textId="77777777" w:rsidR="00444C3C" w:rsidRDefault="00444C3C" w:rsidP="00444C3C">
      <w:pPr>
        <w:pStyle w:val="ListParagraph"/>
        <w:numPr>
          <w:ilvl w:val="0"/>
          <w:numId w:val="1"/>
        </w:numPr>
      </w:pPr>
      <w:r>
        <w:t>Appeal letters and supporting documents must be transmitted via secure, HIPAA-compliant methods (e.g., encrypted email, secure fax).</w:t>
      </w:r>
    </w:p>
    <w:p w14:paraId="1BA21F00" w14:textId="77777777" w:rsidR="00444C3C" w:rsidRDefault="00444C3C" w:rsidP="00444C3C">
      <w:pPr>
        <w:pStyle w:val="ListParagraph"/>
        <w:numPr>
          <w:ilvl w:val="0"/>
          <w:numId w:val="1"/>
        </w:numPr>
      </w:pPr>
      <w:r>
        <w:t>Physical and electronic records containing PHI must be stored in secure, access-controlled environments.</w:t>
      </w:r>
    </w:p>
    <w:p w14:paraId="358BF414" w14:textId="77777777" w:rsidR="00444C3C" w:rsidRDefault="00444C3C" w:rsidP="00444C3C">
      <w:pPr>
        <w:pStyle w:val="ListParagraph"/>
        <w:numPr>
          <w:ilvl w:val="0"/>
          <w:numId w:val="1"/>
        </w:numPr>
      </w:pPr>
      <w:r>
        <w:t>Any suspected or confirmed breaches of patient privacy must be reported immediately to the hospital’s Privacy Officer and handled according to the hospital’s breach notification policy.</w:t>
      </w:r>
    </w:p>
    <w:p w14:paraId="551F7C21" w14:textId="77777777" w:rsidR="00444C3C" w:rsidRPr="00444C3C" w:rsidRDefault="00444C3C" w:rsidP="00444C3C">
      <w:pPr>
        <w:rPr>
          <w:b/>
          <w:bCs/>
        </w:rPr>
      </w:pPr>
      <w:r w:rsidRPr="00444C3C">
        <w:rPr>
          <w:b/>
          <w:bCs/>
        </w:rPr>
        <w:t>2. Payer-Specific Regulations and Requirements</w:t>
      </w:r>
    </w:p>
    <w:p w14:paraId="33E9E82A" w14:textId="77777777" w:rsidR="00444C3C" w:rsidRDefault="00444C3C" w:rsidP="00444C3C">
      <w:pPr>
        <w:pStyle w:val="ListParagraph"/>
        <w:numPr>
          <w:ilvl w:val="0"/>
          <w:numId w:val="2"/>
        </w:numPr>
      </w:pPr>
      <w:r>
        <w:t>The Appeal Writing Unit will maintain an up-to-date repository of payer policies, guidelines, and appeal requirements.</w:t>
      </w:r>
    </w:p>
    <w:p w14:paraId="2F7C557F" w14:textId="77777777" w:rsidR="00444C3C" w:rsidRDefault="00444C3C" w:rsidP="00444C3C">
      <w:pPr>
        <w:pStyle w:val="ListParagraph"/>
        <w:numPr>
          <w:ilvl w:val="0"/>
          <w:numId w:val="2"/>
        </w:numPr>
      </w:pPr>
      <w:r>
        <w:t>Staff must review payer-specific instructions prior to preparing each appeal, ensuring compliance with formatting, documentation, and submission protocols.</w:t>
      </w:r>
    </w:p>
    <w:p w14:paraId="4FE8B27E" w14:textId="77777777" w:rsidR="00444C3C" w:rsidRDefault="00444C3C" w:rsidP="00444C3C">
      <w:pPr>
        <w:pStyle w:val="ListParagraph"/>
        <w:numPr>
          <w:ilvl w:val="0"/>
          <w:numId w:val="2"/>
        </w:numPr>
      </w:pPr>
      <w:r>
        <w:lastRenderedPageBreak/>
        <w:t>Appeals must be tailored to the unique requirements of each payer, including the inclusion of specific forms, medical necessity criteria, and other documentation as outlined in payer contracts and manuals.</w:t>
      </w:r>
    </w:p>
    <w:p w14:paraId="2D145EF2" w14:textId="77777777" w:rsidR="00444C3C" w:rsidRDefault="00444C3C" w:rsidP="00444C3C">
      <w:pPr>
        <w:pStyle w:val="ListParagraph"/>
        <w:numPr>
          <w:ilvl w:val="0"/>
          <w:numId w:val="2"/>
        </w:numPr>
      </w:pPr>
      <w:r>
        <w:t>The unit will participate in regular training and updates regarding changes to payer regulations and requirements.</w:t>
      </w:r>
    </w:p>
    <w:p w14:paraId="018B3539" w14:textId="77777777" w:rsidR="00444C3C" w:rsidRPr="00444C3C" w:rsidRDefault="00444C3C" w:rsidP="00444C3C">
      <w:pPr>
        <w:rPr>
          <w:b/>
          <w:bCs/>
        </w:rPr>
      </w:pPr>
      <w:r w:rsidRPr="00444C3C">
        <w:rPr>
          <w:b/>
          <w:bCs/>
        </w:rPr>
        <w:t>3. Timelines for Appeal Submission</w:t>
      </w:r>
    </w:p>
    <w:p w14:paraId="54856DE0" w14:textId="77777777" w:rsidR="00444C3C" w:rsidRDefault="00444C3C" w:rsidP="00444C3C">
      <w:pPr>
        <w:pStyle w:val="ListParagraph"/>
        <w:numPr>
          <w:ilvl w:val="0"/>
          <w:numId w:val="3"/>
        </w:numPr>
      </w:pPr>
      <w:r>
        <w:t>Upon receipt of a denial, the Appeal Writing Unit will verify the contractual deadline for appeal submission as specified by the payer.</w:t>
      </w:r>
    </w:p>
    <w:p w14:paraId="1DD4FDA0" w14:textId="77777777" w:rsidR="00444C3C" w:rsidRDefault="00444C3C" w:rsidP="00444C3C">
      <w:pPr>
        <w:pStyle w:val="ListParagraph"/>
        <w:numPr>
          <w:ilvl w:val="0"/>
          <w:numId w:val="3"/>
        </w:numPr>
      </w:pPr>
      <w:r>
        <w:t>The unit will prioritize appeals based on urgency and remaining time for submission, using a tracking system to monitor deadlines.</w:t>
      </w:r>
    </w:p>
    <w:p w14:paraId="0F129A80" w14:textId="77777777" w:rsidR="00444C3C" w:rsidRDefault="00444C3C" w:rsidP="00444C3C">
      <w:pPr>
        <w:pStyle w:val="ListParagraph"/>
        <w:numPr>
          <w:ilvl w:val="0"/>
          <w:numId w:val="3"/>
        </w:numPr>
      </w:pPr>
      <w:r>
        <w:t>Appeals must be submitted within the required timeframe to avoid forfeiture of appeal rights. If submission is not possible within the deadline, the reason must be documented and communicated to relevant stakeholders.</w:t>
      </w:r>
    </w:p>
    <w:p w14:paraId="57BDDCE4" w14:textId="77777777" w:rsidR="00444C3C" w:rsidRDefault="00444C3C" w:rsidP="00444C3C">
      <w:pPr>
        <w:pStyle w:val="ListParagraph"/>
        <w:numPr>
          <w:ilvl w:val="0"/>
          <w:numId w:val="3"/>
        </w:numPr>
      </w:pPr>
      <w:r>
        <w:t>The unit will conduct monthly audits to ensure adherence to timely submission standards and address any process gaps.</w:t>
      </w:r>
    </w:p>
    <w:p w14:paraId="29D0001B" w14:textId="77777777" w:rsidR="00444C3C" w:rsidRPr="00444C3C" w:rsidRDefault="00444C3C" w:rsidP="00444C3C">
      <w:pPr>
        <w:rPr>
          <w:b/>
          <w:bCs/>
        </w:rPr>
      </w:pPr>
      <w:r w:rsidRPr="00444C3C">
        <w:rPr>
          <w:b/>
          <w:bCs/>
        </w:rPr>
        <w:t>Documentation and Record Keeping</w:t>
      </w:r>
    </w:p>
    <w:p w14:paraId="2BA0C727" w14:textId="77777777" w:rsidR="00444C3C" w:rsidRDefault="00444C3C" w:rsidP="00444C3C">
      <w:pPr>
        <w:pStyle w:val="ListParagraph"/>
        <w:numPr>
          <w:ilvl w:val="0"/>
          <w:numId w:val="4"/>
        </w:numPr>
      </w:pPr>
      <w:r>
        <w:t>All appeal activities, including submission dates, payer requirements, and documentation used, must be recorded in the hospital’s designated tracking system.</w:t>
      </w:r>
    </w:p>
    <w:p w14:paraId="5204F79D" w14:textId="77777777" w:rsidR="00444C3C" w:rsidRDefault="00444C3C" w:rsidP="00444C3C">
      <w:pPr>
        <w:pStyle w:val="ListParagraph"/>
        <w:numPr>
          <w:ilvl w:val="0"/>
          <w:numId w:val="4"/>
        </w:numPr>
      </w:pPr>
      <w:r>
        <w:t>Records will be retained according to hospital policy and applicable regulations.</w:t>
      </w:r>
    </w:p>
    <w:p w14:paraId="239C10B6" w14:textId="77777777" w:rsidR="00444C3C" w:rsidRPr="00444C3C" w:rsidRDefault="00444C3C" w:rsidP="00444C3C">
      <w:pPr>
        <w:rPr>
          <w:b/>
          <w:bCs/>
        </w:rPr>
      </w:pPr>
      <w:r w:rsidRPr="00444C3C">
        <w:rPr>
          <w:b/>
          <w:bCs/>
        </w:rPr>
        <w:t>Quality Assurance</w:t>
      </w:r>
    </w:p>
    <w:p w14:paraId="3539E551" w14:textId="77777777" w:rsidR="00444C3C" w:rsidRDefault="00444C3C" w:rsidP="00444C3C">
      <w:pPr>
        <w:pStyle w:val="ListParagraph"/>
        <w:numPr>
          <w:ilvl w:val="0"/>
          <w:numId w:val="5"/>
        </w:numPr>
      </w:pPr>
      <w:r>
        <w:t>The Appeal Writing Unit will conduct periodic reviews of compliance with HIPAA, payer requirements, and submission timelines.</w:t>
      </w:r>
    </w:p>
    <w:p w14:paraId="091F2E0B" w14:textId="77777777" w:rsidR="00444C3C" w:rsidRDefault="00444C3C" w:rsidP="00444C3C">
      <w:pPr>
        <w:pStyle w:val="ListParagraph"/>
        <w:numPr>
          <w:ilvl w:val="0"/>
          <w:numId w:val="5"/>
        </w:numPr>
      </w:pPr>
      <w:r>
        <w:t>Findings will be reported to hospital leadership and used for continuous process improvement.</w:t>
      </w:r>
    </w:p>
    <w:p w14:paraId="5D95A840" w14:textId="0C3618C4" w:rsidR="00AC245B" w:rsidRDefault="00444C3C" w:rsidP="00444C3C">
      <w:r>
        <w:t>References</w:t>
      </w:r>
    </w:p>
    <w:sectPr w:rsidR="00AC2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82D8B"/>
    <w:multiLevelType w:val="hybridMultilevel"/>
    <w:tmpl w:val="BB2C0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806BE5"/>
    <w:multiLevelType w:val="hybridMultilevel"/>
    <w:tmpl w:val="E3E6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44062D"/>
    <w:multiLevelType w:val="hybridMultilevel"/>
    <w:tmpl w:val="320E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4C5DA3"/>
    <w:multiLevelType w:val="hybridMultilevel"/>
    <w:tmpl w:val="69E85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89C67D7"/>
    <w:multiLevelType w:val="hybridMultilevel"/>
    <w:tmpl w:val="D88E4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486659">
    <w:abstractNumId w:val="0"/>
  </w:num>
  <w:num w:numId="2" w16cid:durableId="791289515">
    <w:abstractNumId w:val="3"/>
  </w:num>
  <w:num w:numId="3" w16cid:durableId="243495680">
    <w:abstractNumId w:val="1"/>
  </w:num>
  <w:num w:numId="4" w16cid:durableId="998459203">
    <w:abstractNumId w:val="2"/>
  </w:num>
  <w:num w:numId="5" w16cid:durableId="14116125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3C"/>
    <w:rsid w:val="00051632"/>
    <w:rsid w:val="00142633"/>
    <w:rsid w:val="00444C3C"/>
    <w:rsid w:val="00AC245B"/>
    <w:rsid w:val="00ED2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AD046"/>
  <w15:chartTrackingRefBased/>
  <w15:docId w15:val="{36B0F1D3-E4FC-4C66-A844-CB954D03E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4C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4C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4C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4C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4C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4C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4C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4C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4C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4C3C"/>
    <w:rPr>
      <w:rFonts w:eastAsiaTheme="majorEastAsia" w:cstheme="majorBidi"/>
      <w:color w:val="272727" w:themeColor="text1" w:themeTint="D8"/>
    </w:rPr>
  </w:style>
  <w:style w:type="paragraph" w:styleId="Title">
    <w:name w:val="Title"/>
    <w:basedOn w:val="Normal"/>
    <w:next w:val="Normal"/>
    <w:link w:val="TitleChar"/>
    <w:uiPriority w:val="10"/>
    <w:qFormat/>
    <w:rsid w:val="00444C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4C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4C3C"/>
    <w:pPr>
      <w:spacing w:before="160"/>
      <w:jc w:val="center"/>
    </w:pPr>
    <w:rPr>
      <w:i/>
      <w:iCs/>
      <w:color w:val="404040" w:themeColor="text1" w:themeTint="BF"/>
    </w:rPr>
  </w:style>
  <w:style w:type="character" w:customStyle="1" w:styleId="QuoteChar">
    <w:name w:val="Quote Char"/>
    <w:basedOn w:val="DefaultParagraphFont"/>
    <w:link w:val="Quote"/>
    <w:uiPriority w:val="29"/>
    <w:rsid w:val="00444C3C"/>
    <w:rPr>
      <w:i/>
      <w:iCs/>
      <w:color w:val="404040" w:themeColor="text1" w:themeTint="BF"/>
    </w:rPr>
  </w:style>
  <w:style w:type="paragraph" w:styleId="ListParagraph">
    <w:name w:val="List Paragraph"/>
    <w:basedOn w:val="Normal"/>
    <w:uiPriority w:val="34"/>
    <w:qFormat/>
    <w:rsid w:val="00444C3C"/>
    <w:pPr>
      <w:ind w:left="720"/>
      <w:contextualSpacing/>
    </w:pPr>
  </w:style>
  <w:style w:type="character" w:styleId="IntenseEmphasis">
    <w:name w:val="Intense Emphasis"/>
    <w:basedOn w:val="DefaultParagraphFont"/>
    <w:uiPriority w:val="21"/>
    <w:qFormat/>
    <w:rsid w:val="00444C3C"/>
    <w:rPr>
      <w:i/>
      <w:iCs/>
      <w:color w:val="0F4761" w:themeColor="accent1" w:themeShade="BF"/>
    </w:rPr>
  </w:style>
  <w:style w:type="paragraph" w:styleId="IntenseQuote">
    <w:name w:val="Intense Quote"/>
    <w:basedOn w:val="Normal"/>
    <w:next w:val="Normal"/>
    <w:link w:val="IntenseQuoteChar"/>
    <w:uiPriority w:val="30"/>
    <w:qFormat/>
    <w:rsid w:val="00444C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4C3C"/>
    <w:rPr>
      <w:i/>
      <w:iCs/>
      <w:color w:val="0F4761" w:themeColor="accent1" w:themeShade="BF"/>
    </w:rPr>
  </w:style>
  <w:style w:type="character" w:styleId="IntenseReference">
    <w:name w:val="Intense Reference"/>
    <w:basedOn w:val="DefaultParagraphFont"/>
    <w:uiPriority w:val="32"/>
    <w:qFormat/>
    <w:rsid w:val="00444C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Hiravi</dc:creator>
  <cp:keywords/>
  <dc:description/>
  <cp:lastModifiedBy>Karla Hiravi</cp:lastModifiedBy>
  <cp:revision>1</cp:revision>
  <dcterms:created xsi:type="dcterms:W3CDTF">2025-08-08T19:08:00Z</dcterms:created>
  <dcterms:modified xsi:type="dcterms:W3CDTF">2025-08-08T19:12:00Z</dcterms:modified>
</cp:coreProperties>
</file>