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D412" w14:textId="77777777" w:rsidR="00932C71" w:rsidRPr="003952AE" w:rsidRDefault="00932C71" w:rsidP="00932C71">
      <w:pPr>
        <w:rPr>
          <w:b/>
          <w:bCs/>
        </w:rPr>
      </w:pPr>
      <w:r w:rsidRPr="003952AE">
        <w:rPr>
          <w:b/>
          <w:bCs/>
        </w:rPr>
        <w:t>Policy and Procedure: Denial Review and Assignment of Appeals</w:t>
      </w:r>
    </w:p>
    <w:p w14:paraId="41CBAE0D" w14:textId="77777777" w:rsidR="00932C71" w:rsidRPr="003952AE" w:rsidRDefault="00932C71" w:rsidP="00932C71">
      <w:pPr>
        <w:rPr>
          <w:b/>
          <w:bCs/>
        </w:rPr>
      </w:pPr>
      <w:r w:rsidRPr="003952AE">
        <w:rPr>
          <w:b/>
          <w:bCs/>
        </w:rPr>
        <w:t>Purpose</w:t>
      </w:r>
    </w:p>
    <w:p w14:paraId="7A8B52BC" w14:textId="4741E559" w:rsidR="00932C71" w:rsidRDefault="00932C71" w:rsidP="00932C71">
      <w:r>
        <w:t xml:space="preserve">To ensure that each denial is accurately reviewed and its basis identified—using denial letters, </w:t>
      </w:r>
      <w:r w:rsidR="0073274E">
        <w:t xml:space="preserve">payer portals, </w:t>
      </w:r>
      <w:r>
        <w:t>PAN</w:t>
      </w:r>
      <w:r w:rsidR="003952AE">
        <w:t>s</w:t>
      </w:r>
      <w:r>
        <w:t xml:space="preserve"> (Pa</w:t>
      </w:r>
      <w:r w:rsidR="003952AE">
        <w:t>tient Accounting Notes)</w:t>
      </w:r>
      <w:r>
        <w:t xml:space="preserve">, </w:t>
      </w:r>
      <w:r w:rsidR="0073274E">
        <w:t>r</w:t>
      </w:r>
      <w:r w:rsidR="003952AE">
        <w:t xml:space="preserve">emittance </w:t>
      </w:r>
      <w:r w:rsidR="0073274E">
        <w:t>a</w:t>
      </w:r>
      <w:r w:rsidR="003952AE">
        <w:t xml:space="preserve">dvice, </w:t>
      </w:r>
      <w:r>
        <w:t>and</w:t>
      </w:r>
      <w:r w:rsidR="003952AE">
        <w:t>/or</w:t>
      </w:r>
      <w:r>
        <w:t xml:space="preserve"> Explanation of Benefits (</w:t>
      </w:r>
      <w:r w:rsidR="003952AE">
        <w:t>EOBs)</w:t>
      </w:r>
      <w:r>
        <w:t>so appeals are assigned to the most appropriately skilled appeal writer.</w:t>
      </w:r>
    </w:p>
    <w:p w14:paraId="4DF1E5CA" w14:textId="77777777" w:rsidR="00932C71" w:rsidRPr="003952AE" w:rsidRDefault="00932C71" w:rsidP="00932C71">
      <w:pPr>
        <w:rPr>
          <w:b/>
          <w:bCs/>
        </w:rPr>
      </w:pPr>
      <w:r w:rsidRPr="003952AE">
        <w:rPr>
          <w:b/>
          <w:bCs/>
        </w:rPr>
        <w:t>Scope</w:t>
      </w:r>
    </w:p>
    <w:p w14:paraId="05F559C3" w14:textId="5175A826" w:rsidR="00932C71" w:rsidRDefault="00932C71" w:rsidP="00932C71">
      <w:r>
        <w:t>This policy applies to all staff involved in the review and assignment of payer denials for hospital-based services at [Organization Name].</w:t>
      </w:r>
    </w:p>
    <w:p w14:paraId="30812EE2" w14:textId="77777777" w:rsidR="00932C71" w:rsidRPr="003952AE" w:rsidRDefault="00932C71" w:rsidP="00932C71">
      <w:pPr>
        <w:rPr>
          <w:b/>
          <w:bCs/>
        </w:rPr>
      </w:pPr>
      <w:r w:rsidRPr="003952AE">
        <w:rPr>
          <w:b/>
          <w:bCs/>
        </w:rPr>
        <w:t>Policy</w:t>
      </w:r>
    </w:p>
    <w:p w14:paraId="314EE15F" w14:textId="7EFEA141" w:rsidR="00932C71" w:rsidRDefault="00932C71" w:rsidP="00932C71">
      <w:r>
        <w:t xml:space="preserve">All payer denials </w:t>
      </w:r>
      <w:r w:rsidR="003952AE">
        <w:t>will</w:t>
      </w:r>
      <w:r>
        <w:t xml:space="preserve"> be systematically reviewed using the denial letter, </w:t>
      </w:r>
      <w:r w:rsidR="0073274E">
        <w:t xml:space="preserve">payer portals, </w:t>
      </w:r>
      <w:r>
        <w:t>PAN notes, and/or EOBs to determine the specific service, code, and reason for denial. Denials are then categorized and routed to appeal writers with expertise in the relevant denial type to maximize the likelihood of successful appeal.</w:t>
      </w:r>
    </w:p>
    <w:p w14:paraId="3A28B84D" w14:textId="77777777" w:rsidR="00932C71" w:rsidRPr="003952AE" w:rsidRDefault="00932C71" w:rsidP="00932C71">
      <w:pPr>
        <w:rPr>
          <w:b/>
          <w:bCs/>
        </w:rPr>
      </w:pPr>
      <w:r w:rsidRPr="003952AE">
        <w:rPr>
          <w:b/>
          <w:bCs/>
        </w:rPr>
        <w:t>Procedure</w:t>
      </w:r>
    </w:p>
    <w:p w14:paraId="4733440E" w14:textId="77777777" w:rsidR="00932C71" w:rsidRPr="003952AE" w:rsidRDefault="00932C71" w:rsidP="00932C71">
      <w:pPr>
        <w:rPr>
          <w:b/>
          <w:bCs/>
        </w:rPr>
      </w:pPr>
      <w:r w:rsidRPr="003952AE">
        <w:rPr>
          <w:b/>
          <w:bCs/>
        </w:rPr>
        <w:t>1. Denial Document Collection</w:t>
      </w:r>
    </w:p>
    <w:p w14:paraId="22A89329" w14:textId="33E09160" w:rsidR="00932C71" w:rsidRPr="006B7E83" w:rsidRDefault="00932C71" w:rsidP="00932C71">
      <w:r w:rsidRPr="006B7E83">
        <w:t>a. Gather all relevant documentation for each denial, which may include:</w:t>
      </w:r>
    </w:p>
    <w:p w14:paraId="38225CF8" w14:textId="77777777" w:rsidR="00932C71" w:rsidRDefault="00932C71" w:rsidP="003952AE">
      <w:pPr>
        <w:pStyle w:val="ListParagraph"/>
        <w:numPr>
          <w:ilvl w:val="0"/>
          <w:numId w:val="1"/>
        </w:numPr>
      </w:pPr>
      <w:r>
        <w:t>Denial letter from the payer</w:t>
      </w:r>
    </w:p>
    <w:p w14:paraId="19555E1A" w14:textId="77777777" w:rsidR="00932C71" w:rsidRDefault="00932C71" w:rsidP="003952AE">
      <w:pPr>
        <w:pStyle w:val="ListParagraph"/>
        <w:numPr>
          <w:ilvl w:val="0"/>
          <w:numId w:val="1"/>
        </w:numPr>
      </w:pPr>
      <w:r>
        <w:t>PAN notes (if available)</w:t>
      </w:r>
    </w:p>
    <w:p w14:paraId="005352D3" w14:textId="77777777" w:rsidR="003952AE" w:rsidRDefault="00932C71" w:rsidP="003952AE">
      <w:pPr>
        <w:pStyle w:val="ListParagraph"/>
        <w:numPr>
          <w:ilvl w:val="0"/>
          <w:numId w:val="1"/>
        </w:numPr>
      </w:pPr>
      <w:r>
        <w:t>EOB</w:t>
      </w:r>
    </w:p>
    <w:p w14:paraId="7B07D446" w14:textId="4A357842" w:rsidR="00932C71" w:rsidRDefault="00932C71" w:rsidP="003952AE">
      <w:pPr>
        <w:pStyle w:val="ListParagraph"/>
        <w:numPr>
          <w:ilvl w:val="0"/>
          <w:numId w:val="1"/>
        </w:numPr>
      </w:pPr>
      <w:r>
        <w:t>Remittance Advice</w:t>
      </w:r>
    </w:p>
    <w:p w14:paraId="79559315" w14:textId="179D09C6" w:rsidR="00932C71" w:rsidRPr="006B7E83" w:rsidRDefault="00932C71" w:rsidP="00932C71">
      <w:r w:rsidRPr="006B7E83">
        <w:t>b. Verify completeness of documentation before proceeding.</w:t>
      </w:r>
    </w:p>
    <w:p w14:paraId="62F87FF1" w14:textId="77777777" w:rsidR="00932C71" w:rsidRPr="006B7E83" w:rsidRDefault="00932C71" w:rsidP="00932C71">
      <w:pPr>
        <w:rPr>
          <w:b/>
          <w:bCs/>
        </w:rPr>
      </w:pPr>
      <w:r w:rsidRPr="006B7E83">
        <w:rPr>
          <w:b/>
          <w:bCs/>
        </w:rPr>
        <w:t>2. Denial Review and Categorization</w:t>
      </w:r>
    </w:p>
    <w:p w14:paraId="2F931BCA" w14:textId="468279FF" w:rsidR="00932C71" w:rsidRPr="006B7E83" w:rsidRDefault="00932C71" w:rsidP="00932C71">
      <w:r w:rsidRPr="006B7E83">
        <w:t>a. Review the denial documentation to identify:</w:t>
      </w:r>
    </w:p>
    <w:p w14:paraId="399DEAED" w14:textId="77777777" w:rsidR="00932C71" w:rsidRDefault="00932C71" w:rsidP="003952AE">
      <w:pPr>
        <w:pStyle w:val="ListParagraph"/>
        <w:numPr>
          <w:ilvl w:val="0"/>
          <w:numId w:val="2"/>
        </w:numPr>
      </w:pPr>
      <w:r>
        <w:t>The specific service or claim being denied (e.g., procedure code, date of service)</w:t>
      </w:r>
    </w:p>
    <w:p w14:paraId="7A4A5811" w14:textId="77777777" w:rsidR="00932C71" w:rsidRDefault="00932C71" w:rsidP="003952AE">
      <w:pPr>
        <w:pStyle w:val="ListParagraph"/>
        <w:numPr>
          <w:ilvl w:val="0"/>
          <w:numId w:val="2"/>
        </w:numPr>
      </w:pPr>
      <w:r>
        <w:t>The reason for denial (as stated by the payer)</w:t>
      </w:r>
    </w:p>
    <w:p w14:paraId="11217971" w14:textId="77777777" w:rsidR="00932C71" w:rsidRDefault="00932C71" w:rsidP="003952AE">
      <w:pPr>
        <w:pStyle w:val="ListParagraph"/>
        <w:numPr>
          <w:ilvl w:val="0"/>
          <w:numId w:val="2"/>
        </w:numPr>
      </w:pPr>
      <w:r>
        <w:t>Any referenced payer policies or guidelines</w:t>
      </w:r>
    </w:p>
    <w:p w14:paraId="4D1A95DE" w14:textId="3EC046ED" w:rsidR="00932C71" w:rsidRPr="006B7E83" w:rsidRDefault="00932C71" w:rsidP="00932C71">
      <w:r w:rsidRPr="006B7E83">
        <w:t>b. Categorize the denial based on the reason, such as:</w:t>
      </w:r>
    </w:p>
    <w:p w14:paraId="0FF445C9" w14:textId="77777777" w:rsidR="00932C71" w:rsidRDefault="00932C71" w:rsidP="006B7E83">
      <w:pPr>
        <w:pStyle w:val="ListParagraph"/>
        <w:numPr>
          <w:ilvl w:val="0"/>
          <w:numId w:val="3"/>
        </w:numPr>
      </w:pPr>
      <w:r>
        <w:t>Coding/Technical: Incorrect code, unbundling, missing modifiers</w:t>
      </w:r>
    </w:p>
    <w:p w14:paraId="2925E538" w14:textId="18D4BA6F" w:rsidR="00932C71" w:rsidRDefault="00932C71" w:rsidP="006B7E83">
      <w:pPr>
        <w:pStyle w:val="ListParagraph"/>
        <w:numPr>
          <w:ilvl w:val="0"/>
          <w:numId w:val="3"/>
        </w:numPr>
      </w:pPr>
      <w:r>
        <w:lastRenderedPageBreak/>
        <w:t>Clinical Validation: insufficient clinical documentation</w:t>
      </w:r>
      <w:r w:rsidR="006B7E83">
        <w:t xml:space="preserve"> to verify the diagnosis existed</w:t>
      </w:r>
    </w:p>
    <w:p w14:paraId="2DD76DD6" w14:textId="140BD4DD" w:rsidR="00932C71" w:rsidRDefault="00932C71" w:rsidP="006B7E83">
      <w:pPr>
        <w:pStyle w:val="ListParagraph"/>
        <w:numPr>
          <w:ilvl w:val="0"/>
          <w:numId w:val="3"/>
        </w:numPr>
      </w:pPr>
      <w:r>
        <w:t>Level of Care: Inpatient vs. outpatient</w:t>
      </w:r>
      <w:r w:rsidR="006B7E83">
        <w:t xml:space="preserve"> or observation</w:t>
      </w:r>
      <w:r>
        <w:t xml:space="preserve"> status, </w:t>
      </w:r>
      <w:r w:rsidR="006B7E83">
        <w:t>level III NICU vs. level IV NICU</w:t>
      </w:r>
    </w:p>
    <w:p w14:paraId="3C9D7213" w14:textId="77777777" w:rsidR="00932C71" w:rsidRDefault="00932C71" w:rsidP="006B7E83">
      <w:pPr>
        <w:pStyle w:val="ListParagraph"/>
        <w:numPr>
          <w:ilvl w:val="0"/>
          <w:numId w:val="3"/>
        </w:numPr>
      </w:pPr>
      <w:r>
        <w:t>Authorization: No prior authorization, expired authorization, authorization not matching service</w:t>
      </w:r>
    </w:p>
    <w:p w14:paraId="7F2E19BE" w14:textId="77777777" w:rsidR="00932C71" w:rsidRDefault="00932C71" w:rsidP="006B7E83">
      <w:pPr>
        <w:pStyle w:val="ListParagraph"/>
        <w:numPr>
          <w:ilvl w:val="0"/>
          <w:numId w:val="3"/>
        </w:numPr>
      </w:pPr>
      <w:r>
        <w:t>Other: Timely filing, benefit exhaustion, non-covered service, duplicate claim, etc.</w:t>
      </w:r>
    </w:p>
    <w:p w14:paraId="2902D894" w14:textId="24F1F11D" w:rsidR="00932C71" w:rsidRPr="006B7E83" w:rsidRDefault="00932C71" w:rsidP="00932C71">
      <w:r w:rsidRPr="006B7E83">
        <w:t>c. Document the denial category in the appeals tracking system.</w:t>
      </w:r>
    </w:p>
    <w:p w14:paraId="6D3B72F0" w14:textId="77777777" w:rsidR="00932C71" w:rsidRPr="006B7E83" w:rsidRDefault="00932C71" w:rsidP="00932C71">
      <w:pPr>
        <w:rPr>
          <w:b/>
          <w:bCs/>
        </w:rPr>
      </w:pPr>
      <w:r w:rsidRPr="006B7E83">
        <w:rPr>
          <w:b/>
          <w:bCs/>
        </w:rPr>
        <w:t>3. Assignment to Qualified Appeal Writer</w:t>
      </w:r>
    </w:p>
    <w:p w14:paraId="75EA451F" w14:textId="70BB9C4E" w:rsidR="00932C71" w:rsidRDefault="00932C71" w:rsidP="00932C71">
      <w:r>
        <w:t>a. Reference the staff expertise matrix to match denial categories to appeal writers with relevant experience (e.g., coding, clinical, utilization review, authorization).</w:t>
      </w:r>
    </w:p>
    <w:p w14:paraId="153715C6" w14:textId="68685412" w:rsidR="00932C71" w:rsidRDefault="00932C71" w:rsidP="00932C71">
      <w:r>
        <w:t>b. Assign the appeal to the appropriate writer, ensuring:</w:t>
      </w:r>
    </w:p>
    <w:p w14:paraId="7D4B1083" w14:textId="77777777" w:rsidR="00932C71" w:rsidRDefault="00932C71" w:rsidP="006B7E83">
      <w:pPr>
        <w:pStyle w:val="ListParagraph"/>
        <w:numPr>
          <w:ilvl w:val="0"/>
          <w:numId w:val="4"/>
        </w:numPr>
      </w:pPr>
      <w:r>
        <w:t>The writer has demonstrated competency in the specific denial type</w:t>
      </w:r>
    </w:p>
    <w:p w14:paraId="43C56BA6" w14:textId="77777777" w:rsidR="00932C71" w:rsidRDefault="00932C71" w:rsidP="006B7E83">
      <w:pPr>
        <w:pStyle w:val="ListParagraph"/>
        <w:numPr>
          <w:ilvl w:val="0"/>
          <w:numId w:val="4"/>
        </w:numPr>
      </w:pPr>
      <w:r>
        <w:t>Complex or ambiguous denials are escalated to a supervisor or senior staff for assignment</w:t>
      </w:r>
    </w:p>
    <w:p w14:paraId="5BC7B918" w14:textId="1418271E" w:rsidR="00932C71" w:rsidRDefault="00932C71" w:rsidP="00932C71">
      <w:r>
        <w:t>c. Document the assignment in the appeals tracking system, including:</w:t>
      </w:r>
    </w:p>
    <w:p w14:paraId="1814C5D5" w14:textId="77777777" w:rsidR="00932C71" w:rsidRDefault="00932C71" w:rsidP="006B7E83">
      <w:pPr>
        <w:pStyle w:val="ListParagraph"/>
        <w:numPr>
          <w:ilvl w:val="0"/>
          <w:numId w:val="5"/>
        </w:numPr>
      </w:pPr>
      <w:r>
        <w:t>Denial category</w:t>
      </w:r>
    </w:p>
    <w:p w14:paraId="6FF6365F" w14:textId="77777777" w:rsidR="00932C71" w:rsidRDefault="00932C71" w:rsidP="006B7E83">
      <w:pPr>
        <w:pStyle w:val="ListParagraph"/>
        <w:numPr>
          <w:ilvl w:val="0"/>
          <w:numId w:val="5"/>
        </w:numPr>
      </w:pPr>
      <w:r>
        <w:t>Assigned appeal writer</w:t>
      </w:r>
    </w:p>
    <w:p w14:paraId="5390CAFA" w14:textId="77777777" w:rsidR="00932C71" w:rsidRDefault="00932C71" w:rsidP="006B7E83">
      <w:pPr>
        <w:pStyle w:val="ListParagraph"/>
        <w:numPr>
          <w:ilvl w:val="0"/>
          <w:numId w:val="5"/>
        </w:numPr>
      </w:pPr>
      <w:r>
        <w:t>Date of assignment</w:t>
      </w:r>
    </w:p>
    <w:p w14:paraId="74C7CB62" w14:textId="77777777" w:rsidR="00932C71" w:rsidRPr="006B7E83" w:rsidRDefault="00932C71" w:rsidP="00932C71">
      <w:pPr>
        <w:rPr>
          <w:b/>
          <w:bCs/>
        </w:rPr>
      </w:pPr>
      <w:r w:rsidRPr="006B7E83">
        <w:rPr>
          <w:b/>
          <w:bCs/>
        </w:rPr>
        <w:t>4. Communication and Escalation</w:t>
      </w:r>
    </w:p>
    <w:p w14:paraId="3562187C" w14:textId="3BD40EEB" w:rsidR="00932C71" w:rsidRDefault="00932C71" w:rsidP="00932C71">
      <w:r>
        <w:t>a. Notify the assigned writer of the new case and provide all documentation.</w:t>
      </w:r>
    </w:p>
    <w:p w14:paraId="5D34C970" w14:textId="514D24BD" w:rsidR="00932C71" w:rsidRDefault="00932C71" w:rsidP="00932C71">
      <w:r>
        <w:t>b. Escalate to supervisor if:</w:t>
      </w:r>
    </w:p>
    <w:p w14:paraId="4D20B696" w14:textId="77777777" w:rsidR="00932C71" w:rsidRDefault="00932C71" w:rsidP="006B7E83">
      <w:pPr>
        <w:pStyle w:val="ListParagraph"/>
        <w:numPr>
          <w:ilvl w:val="0"/>
          <w:numId w:val="6"/>
        </w:numPr>
      </w:pPr>
      <w:r>
        <w:t>Denial is unclear or does not fit standard categories</w:t>
      </w:r>
    </w:p>
    <w:p w14:paraId="7B097DB8" w14:textId="77777777" w:rsidR="00932C71" w:rsidRDefault="00932C71" w:rsidP="006B7E83">
      <w:pPr>
        <w:pStyle w:val="ListParagraph"/>
        <w:numPr>
          <w:ilvl w:val="0"/>
          <w:numId w:val="6"/>
        </w:numPr>
      </w:pPr>
      <w:r>
        <w:t>Multiple denial reasons are present and require multidisciplinary review</w:t>
      </w:r>
    </w:p>
    <w:p w14:paraId="3628E4E5" w14:textId="77777777" w:rsidR="00932C71" w:rsidRPr="006B7E83" w:rsidRDefault="00932C71" w:rsidP="00932C71">
      <w:pPr>
        <w:rPr>
          <w:b/>
          <w:bCs/>
        </w:rPr>
      </w:pPr>
      <w:r w:rsidRPr="006B7E83">
        <w:rPr>
          <w:b/>
          <w:bCs/>
        </w:rPr>
        <w:t>5. Quality Assurance</w:t>
      </w:r>
    </w:p>
    <w:p w14:paraId="4C133DD2" w14:textId="5A70249A" w:rsidR="00932C71" w:rsidRDefault="00932C71" w:rsidP="00932C71">
      <w:r>
        <w:t>a. Supervisors will periodically audit denial categorization and assignments for accuracy and appropriateness.</w:t>
      </w:r>
    </w:p>
    <w:p w14:paraId="032793E2" w14:textId="1B3915A5" w:rsidR="00932C71" w:rsidRDefault="00932C71" w:rsidP="00932C71">
      <w:r>
        <w:t>b. Appeal writers may provide feedback on denial categorization to improve future assignments.</w:t>
      </w:r>
    </w:p>
    <w:p w14:paraId="206108C4" w14:textId="77777777" w:rsidR="00932C71" w:rsidRPr="006B7E83" w:rsidRDefault="00932C71" w:rsidP="00932C71">
      <w:pPr>
        <w:rPr>
          <w:b/>
          <w:bCs/>
        </w:rPr>
      </w:pPr>
      <w:r w:rsidRPr="006B7E83">
        <w:rPr>
          <w:b/>
          <w:bCs/>
        </w:rPr>
        <w:t>6. Compliance</w:t>
      </w:r>
    </w:p>
    <w:p w14:paraId="4599FB81" w14:textId="77777777" w:rsidR="00932C71" w:rsidRDefault="00932C71" w:rsidP="00932C71">
      <w:r>
        <w:lastRenderedPageBreak/>
        <w:t>a. All denial review and appeal assignment activities must comply with HIPAA and organizational privacy policies.</w:t>
      </w:r>
    </w:p>
    <w:p w14:paraId="3F526C77" w14:textId="77777777" w:rsidR="00932C71" w:rsidRDefault="00932C71" w:rsidP="00932C71"/>
    <w:p w14:paraId="26297FAA" w14:textId="78000B6B" w:rsidR="00932C71" w:rsidRDefault="00932C71" w:rsidP="00932C71">
      <w:r>
        <w:t>b. Documentation must be retained according to [Organization Name] record retention policy.</w:t>
      </w:r>
    </w:p>
    <w:p w14:paraId="21136810" w14:textId="77777777" w:rsidR="00932C71" w:rsidRPr="006B7E83" w:rsidRDefault="00932C71" w:rsidP="00932C71">
      <w:pPr>
        <w:rPr>
          <w:b/>
          <w:bCs/>
        </w:rPr>
      </w:pPr>
      <w:r w:rsidRPr="006B7E83">
        <w:rPr>
          <w:b/>
          <w:bCs/>
        </w:rPr>
        <w:t>Responsibilities</w:t>
      </w:r>
    </w:p>
    <w:p w14:paraId="008BF659" w14:textId="77777777" w:rsidR="00932C71" w:rsidRDefault="00932C71" w:rsidP="00554306">
      <w:pPr>
        <w:pStyle w:val="ListParagraph"/>
        <w:numPr>
          <w:ilvl w:val="0"/>
          <w:numId w:val="7"/>
        </w:numPr>
      </w:pPr>
      <w:r>
        <w:t>Denial Review Staff: Collect and review denial documentation, categorize denials, and assign cases.</w:t>
      </w:r>
    </w:p>
    <w:p w14:paraId="14766138" w14:textId="77777777" w:rsidR="00932C71" w:rsidRDefault="00932C71" w:rsidP="00554306">
      <w:pPr>
        <w:pStyle w:val="ListParagraph"/>
        <w:numPr>
          <w:ilvl w:val="0"/>
          <w:numId w:val="7"/>
        </w:numPr>
      </w:pPr>
      <w:r>
        <w:t>Appeal Writers: Review assigned cases and draft appeals according to expertise.</w:t>
      </w:r>
    </w:p>
    <w:p w14:paraId="1C7C4D41" w14:textId="77777777" w:rsidR="00932C71" w:rsidRDefault="00932C71" w:rsidP="00554306">
      <w:pPr>
        <w:pStyle w:val="ListParagraph"/>
        <w:numPr>
          <w:ilvl w:val="0"/>
          <w:numId w:val="7"/>
        </w:numPr>
      </w:pPr>
      <w:r>
        <w:t>Supervisors: Oversee assignment process, handle escalations, and audit for quality.</w:t>
      </w:r>
    </w:p>
    <w:p w14:paraId="67AC8686" w14:textId="77777777" w:rsidR="00932C71" w:rsidRDefault="00932C71" w:rsidP="00932C71">
      <w:r>
        <w:t>References</w:t>
      </w:r>
    </w:p>
    <w:p w14:paraId="60B1A4F2" w14:textId="77777777" w:rsidR="00932C71" w:rsidRDefault="00932C71" w:rsidP="00932C71">
      <w:r>
        <w:t>[List relevant payer guidelines, organizational policies, and regulatory requirements]</w:t>
      </w:r>
    </w:p>
    <w:p w14:paraId="1A11CD67" w14:textId="77777777" w:rsidR="00932C71" w:rsidRDefault="00932C71" w:rsidP="00932C71">
      <w:r>
        <w:t>Effective Date</w:t>
      </w:r>
    </w:p>
    <w:p w14:paraId="3801BB11" w14:textId="77777777" w:rsidR="00932C71" w:rsidRDefault="00932C71" w:rsidP="00932C71">
      <w:r>
        <w:t>[Insert date]</w:t>
      </w:r>
    </w:p>
    <w:p w14:paraId="35723C11" w14:textId="77777777" w:rsidR="00932C71" w:rsidRDefault="00932C71" w:rsidP="00932C71">
      <w:r>
        <w:t>Review Date</w:t>
      </w:r>
    </w:p>
    <w:p w14:paraId="33E2E21E" w14:textId="7A771730" w:rsidR="00AC245B" w:rsidRDefault="00932C71" w:rsidP="00932C71">
      <w:r>
        <w:t>[Insert date for next scheduled review]</w:t>
      </w:r>
    </w:p>
    <w:sectPr w:rsidR="00AC2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594"/>
    <w:multiLevelType w:val="hybridMultilevel"/>
    <w:tmpl w:val="7D78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24527"/>
    <w:multiLevelType w:val="hybridMultilevel"/>
    <w:tmpl w:val="6A8C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F2069"/>
    <w:multiLevelType w:val="hybridMultilevel"/>
    <w:tmpl w:val="2316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D4C59"/>
    <w:multiLevelType w:val="hybridMultilevel"/>
    <w:tmpl w:val="7E84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E0E7E"/>
    <w:multiLevelType w:val="hybridMultilevel"/>
    <w:tmpl w:val="51D2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C6618"/>
    <w:multiLevelType w:val="hybridMultilevel"/>
    <w:tmpl w:val="C4DC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25068"/>
    <w:multiLevelType w:val="hybridMultilevel"/>
    <w:tmpl w:val="BC26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222746">
    <w:abstractNumId w:val="5"/>
  </w:num>
  <w:num w:numId="2" w16cid:durableId="1847282205">
    <w:abstractNumId w:val="0"/>
  </w:num>
  <w:num w:numId="3" w16cid:durableId="1861581144">
    <w:abstractNumId w:val="6"/>
  </w:num>
  <w:num w:numId="4" w16cid:durableId="1436050297">
    <w:abstractNumId w:val="3"/>
  </w:num>
  <w:num w:numId="5" w16cid:durableId="262224914">
    <w:abstractNumId w:val="2"/>
  </w:num>
  <w:num w:numId="6" w16cid:durableId="1980915977">
    <w:abstractNumId w:val="4"/>
  </w:num>
  <w:num w:numId="7" w16cid:durableId="61938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71"/>
    <w:rsid w:val="00051632"/>
    <w:rsid w:val="00142633"/>
    <w:rsid w:val="003952AE"/>
    <w:rsid w:val="00554306"/>
    <w:rsid w:val="006B7E83"/>
    <w:rsid w:val="0073274E"/>
    <w:rsid w:val="00932C71"/>
    <w:rsid w:val="00AC245B"/>
    <w:rsid w:val="00ED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7314"/>
  <w15:chartTrackingRefBased/>
  <w15:docId w15:val="{443BA065-1667-4460-AC14-59BBFB11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71"/>
    <w:rPr>
      <w:rFonts w:eastAsiaTheme="majorEastAsia" w:cstheme="majorBidi"/>
      <w:color w:val="272727" w:themeColor="text1" w:themeTint="D8"/>
    </w:rPr>
  </w:style>
  <w:style w:type="paragraph" w:styleId="Title">
    <w:name w:val="Title"/>
    <w:basedOn w:val="Normal"/>
    <w:next w:val="Normal"/>
    <w:link w:val="TitleChar"/>
    <w:uiPriority w:val="10"/>
    <w:qFormat/>
    <w:rsid w:val="0093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71"/>
    <w:pPr>
      <w:spacing w:before="160"/>
      <w:jc w:val="center"/>
    </w:pPr>
    <w:rPr>
      <w:i/>
      <w:iCs/>
      <w:color w:val="404040" w:themeColor="text1" w:themeTint="BF"/>
    </w:rPr>
  </w:style>
  <w:style w:type="character" w:customStyle="1" w:styleId="QuoteChar">
    <w:name w:val="Quote Char"/>
    <w:basedOn w:val="DefaultParagraphFont"/>
    <w:link w:val="Quote"/>
    <w:uiPriority w:val="29"/>
    <w:rsid w:val="00932C71"/>
    <w:rPr>
      <w:i/>
      <w:iCs/>
      <w:color w:val="404040" w:themeColor="text1" w:themeTint="BF"/>
    </w:rPr>
  </w:style>
  <w:style w:type="paragraph" w:styleId="ListParagraph">
    <w:name w:val="List Paragraph"/>
    <w:basedOn w:val="Normal"/>
    <w:uiPriority w:val="34"/>
    <w:qFormat/>
    <w:rsid w:val="00932C71"/>
    <w:pPr>
      <w:ind w:left="720"/>
      <w:contextualSpacing/>
    </w:pPr>
  </w:style>
  <w:style w:type="character" w:styleId="IntenseEmphasis">
    <w:name w:val="Intense Emphasis"/>
    <w:basedOn w:val="DefaultParagraphFont"/>
    <w:uiPriority w:val="21"/>
    <w:qFormat/>
    <w:rsid w:val="00932C71"/>
    <w:rPr>
      <w:i/>
      <w:iCs/>
      <w:color w:val="0F4761" w:themeColor="accent1" w:themeShade="BF"/>
    </w:rPr>
  </w:style>
  <w:style w:type="paragraph" w:styleId="IntenseQuote">
    <w:name w:val="Intense Quote"/>
    <w:basedOn w:val="Normal"/>
    <w:next w:val="Normal"/>
    <w:link w:val="IntenseQuoteChar"/>
    <w:uiPriority w:val="30"/>
    <w:qFormat/>
    <w:rsid w:val="00932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71"/>
    <w:rPr>
      <w:i/>
      <w:iCs/>
      <w:color w:val="0F4761" w:themeColor="accent1" w:themeShade="BF"/>
    </w:rPr>
  </w:style>
  <w:style w:type="character" w:styleId="IntenseReference">
    <w:name w:val="Intense Reference"/>
    <w:basedOn w:val="DefaultParagraphFont"/>
    <w:uiPriority w:val="32"/>
    <w:qFormat/>
    <w:rsid w:val="00932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Hiravi</dc:creator>
  <cp:keywords/>
  <dc:description/>
  <cp:lastModifiedBy>Karla Hiravi</cp:lastModifiedBy>
  <cp:revision>5</cp:revision>
  <dcterms:created xsi:type="dcterms:W3CDTF">2025-08-08T17:47:00Z</dcterms:created>
  <dcterms:modified xsi:type="dcterms:W3CDTF">2025-08-08T18:07:00Z</dcterms:modified>
</cp:coreProperties>
</file>