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9FD0" w14:textId="318F19C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 xml:space="preserve">Policy and Procedure: Likelihood </w:t>
      </w:r>
      <w:r>
        <w:rPr>
          <w:b/>
          <w:bCs/>
        </w:rPr>
        <w:t>of Appeal Overturn</w:t>
      </w:r>
      <w:r w:rsidR="00AF500B">
        <w:rPr>
          <w:b/>
          <w:bCs/>
        </w:rPr>
        <w:t>: Evaluation</w:t>
      </w:r>
      <w:r w:rsidRPr="003963E6">
        <w:rPr>
          <w:b/>
          <w:bCs/>
        </w:rPr>
        <w:t xml:space="preserve"> Using Scorecard</w:t>
      </w:r>
    </w:p>
    <w:p w14:paraId="39C2C448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Purpose</w:t>
      </w:r>
    </w:p>
    <w:p w14:paraId="547030C2" w14:textId="2DA2B17E" w:rsidR="003963E6" w:rsidRDefault="003963E6" w:rsidP="003963E6">
      <w:r>
        <w:t xml:space="preserve">To establish a standardized process for evaluating the likelihood that a </w:t>
      </w:r>
      <w:r>
        <w:t>completed</w:t>
      </w:r>
      <w:r>
        <w:t xml:space="preserve"> appeal will be overturned. This ensures quality assurance, informs follow-up actions, and provides data for continuous improvement.</w:t>
      </w:r>
    </w:p>
    <w:p w14:paraId="6F0B629B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Scope</w:t>
      </w:r>
    </w:p>
    <w:p w14:paraId="0D719471" w14:textId="7F4B7892" w:rsidR="003963E6" w:rsidRDefault="003963E6" w:rsidP="003963E6">
      <w:r>
        <w:t>This policy applies to all staff involved in the preparation, submission, and tracking of appeals for denied healthcare claims within [Organization Name].</w:t>
      </w:r>
    </w:p>
    <w:p w14:paraId="595861F4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Policy</w:t>
      </w:r>
    </w:p>
    <w:p w14:paraId="1AE07C8B" w14:textId="01646FCB" w:rsidR="003963E6" w:rsidRDefault="003963E6" w:rsidP="003963E6">
      <w:r>
        <w:t xml:space="preserve">After an appeal letter has been </w:t>
      </w:r>
      <w:r>
        <w:t>completed</w:t>
      </w:r>
      <w:r>
        <w:t xml:space="preserve">, appeal writers must use the approved Likelihood </w:t>
      </w:r>
      <w:r>
        <w:t xml:space="preserve">of Overturn </w:t>
      </w:r>
      <w:r>
        <w:t>Scorecard to assess the appeal’s projected chance of overturn. This post-drafting evaluation informs management, guides follow-up, and supports training and process improvement.</w:t>
      </w:r>
    </w:p>
    <w:p w14:paraId="311697DF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Procedure</w:t>
      </w:r>
    </w:p>
    <w:p w14:paraId="4ACD0267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1. Scorecard Utilization</w:t>
      </w:r>
    </w:p>
    <w:p w14:paraId="3CF3F202" w14:textId="0F5EC07C" w:rsidR="003963E6" w:rsidRPr="003963E6" w:rsidRDefault="003963E6" w:rsidP="003963E6">
      <w:pPr>
        <w:rPr>
          <w:i/>
          <w:iCs/>
        </w:rPr>
      </w:pPr>
      <w:r w:rsidRPr="003963E6">
        <w:rPr>
          <w:i/>
          <w:iCs/>
        </w:rPr>
        <w:t>a. Accessing the Scorecard</w:t>
      </w:r>
    </w:p>
    <w:p w14:paraId="75980B2B" w14:textId="378448E0" w:rsidR="003963E6" w:rsidRDefault="003963E6" w:rsidP="003963E6">
      <w:r>
        <w:t xml:space="preserve">Appeal writers will use the standardized Likelihood </w:t>
      </w:r>
      <w:r>
        <w:t xml:space="preserve">of Overturn </w:t>
      </w:r>
      <w:r>
        <w:t>Scorecard, available in the [organization’s electronic health record/appeals management system].</w:t>
      </w:r>
    </w:p>
    <w:p w14:paraId="1BD5D3BF" w14:textId="410B1855" w:rsidR="003963E6" w:rsidRPr="003963E6" w:rsidRDefault="003963E6" w:rsidP="003963E6">
      <w:pPr>
        <w:rPr>
          <w:i/>
          <w:iCs/>
        </w:rPr>
      </w:pPr>
      <w:r w:rsidRPr="003963E6">
        <w:rPr>
          <w:i/>
          <w:iCs/>
        </w:rPr>
        <w:t>b. Scorecard Criteria</w:t>
      </w:r>
    </w:p>
    <w:p w14:paraId="75290792" w14:textId="77777777" w:rsidR="003963E6" w:rsidRDefault="003963E6" w:rsidP="003963E6">
      <w:r>
        <w:t>The scorecard evaluates the following post-drafting factors (example criteria; customize as needed):</w:t>
      </w:r>
    </w:p>
    <w:p w14:paraId="42146D4A" w14:textId="77777777" w:rsidR="003963E6" w:rsidRDefault="003963E6" w:rsidP="003963E6">
      <w:pPr>
        <w:pStyle w:val="ListParagraph"/>
        <w:numPr>
          <w:ilvl w:val="0"/>
          <w:numId w:val="16"/>
        </w:numPr>
      </w:pPr>
      <w:r>
        <w:t>Clarity and strength of clinical argument in the appeal letter</w:t>
      </w:r>
    </w:p>
    <w:p w14:paraId="21D7F665" w14:textId="19C8856F" w:rsidR="003963E6" w:rsidRDefault="003963E6" w:rsidP="003963E6">
      <w:pPr>
        <w:pStyle w:val="ListParagraph"/>
        <w:numPr>
          <w:ilvl w:val="0"/>
          <w:numId w:val="16"/>
        </w:numPr>
      </w:pPr>
      <w:r>
        <w:t>Accurate coding</w:t>
      </w:r>
    </w:p>
    <w:p w14:paraId="24B19676" w14:textId="77777777" w:rsidR="003963E6" w:rsidRDefault="003963E6" w:rsidP="003963E6">
      <w:pPr>
        <w:pStyle w:val="ListParagraph"/>
        <w:numPr>
          <w:ilvl w:val="0"/>
          <w:numId w:val="16"/>
        </w:numPr>
      </w:pPr>
      <w:r>
        <w:t>Inclusion of all relevant supporting documentation</w:t>
      </w:r>
    </w:p>
    <w:p w14:paraId="57BEA258" w14:textId="358DCC57" w:rsidR="003963E6" w:rsidRDefault="003963E6" w:rsidP="003963E6">
      <w:pPr>
        <w:pStyle w:val="ListParagraph"/>
        <w:numPr>
          <w:ilvl w:val="0"/>
          <w:numId w:val="16"/>
        </w:numPr>
      </w:pPr>
      <w:r>
        <w:t xml:space="preserve">Ability to clinically validate </w:t>
      </w:r>
      <w:r w:rsidR="004E3050">
        <w:t>a</w:t>
      </w:r>
      <w:r>
        <w:t xml:space="preserve"> denied diagnosis</w:t>
      </w:r>
    </w:p>
    <w:p w14:paraId="3B4548CB" w14:textId="53F2251A" w:rsidR="004E3050" w:rsidRDefault="004E3050" w:rsidP="003963E6">
      <w:pPr>
        <w:pStyle w:val="ListParagraph"/>
        <w:numPr>
          <w:ilvl w:val="0"/>
          <w:numId w:val="16"/>
        </w:numPr>
      </w:pPr>
      <w:r>
        <w:t>Two midnights were medically necessary and supported in the medical record</w:t>
      </w:r>
    </w:p>
    <w:p w14:paraId="155820F4" w14:textId="255E091E" w:rsidR="004E3050" w:rsidRDefault="004E3050" w:rsidP="003963E6">
      <w:pPr>
        <w:pStyle w:val="ListParagraph"/>
        <w:numPr>
          <w:ilvl w:val="0"/>
          <w:numId w:val="16"/>
        </w:numPr>
      </w:pPr>
      <w:r>
        <w:t>Authorization was obtained in a timely manner</w:t>
      </w:r>
    </w:p>
    <w:p w14:paraId="7BFAC49B" w14:textId="7D855BD3" w:rsidR="004E3050" w:rsidRDefault="004E3050" w:rsidP="003963E6">
      <w:pPr>
        <w:pStyle w:val="ListParagraph"/>
        <w:numPr>
          <w:ilvl w:val="0"/>
          <w:numId w:val="16"/>
        </w:numPr>
      </w:pPr>
      <w:r>
        <w:t xml:space="preserve">If authorization </w:t>
      </w:r>
      <w:proofErr w:type="gramStart"/>
      <w:r>
        <w:t>not</w:t>
      </w:r>
      <w:proofErr w:type="gramEnd"/>
      <w:r>
        <w:t xml:space="preserve"> obtained, reason is evident</w:t>
      </w:r>
    </w:p>
    <w:p w14:paraId="4BE5F9E5" w14:textId="77777777" w:rsidR="003963E6" w:rsidRDefault="003963E6" w:rsidP="003963E6">
      <w:pPr>
        <w:pStyle w:val="ListParagraph"/>
        <w:numPr>
          <w:ilvl w:val="0"/>
          <w:numId w:val="16"/>
        </w:numPr>
      </w:pPr>
      <w:r>
        <w:t xml:space="preserve">Direct citation of </w:t>
      </w:r>
      <w:proofErr w:type="gramStart"/>
      <w:r>
        <w:t>payer</w:t>
      </w:r>
      <w:proofErr w:type="gramEnd"/>
      <w:r>
        <w:t xml:space="preserve"> policy or guidelines</w:t>
      </w:r>
    </w:p>
    <w:p w14:paraId="50B0958A" w14:textId="77777777" w:rsidR="003963E6" w:rsidRDefault="003963E6" w:rsidP="003963E6">
      <w:pPr>
        <w:pStyle w:val="ListParagraph"/>
        <w:numPr>
          <w:ilvl w:val="0"/>
          <w:numId w:val="16"/>
        </w:numPr>
      </w:pPr>
      <w:r>
        <w:t>New evidence or information provided since original denial</w:t>
      </w:r>
    </w:p>
    <w:p w14:paraId="2165B6B0" w14:textId="77777777" w:rsidR="003963E6" w:rsidRDefault="003963E6" w:rsidP="003963E6">
      <w:pPr>
        <w:pStyle w:val="ListParagraph"/>
        <w:numPr>
          <w:ilvl w:val="0"/>
          <w:numId w:val="16"/>
        </w:numPr>
      </w:pPr>
      <w:r>
        <w:t>Timeliness and completeness of submission</w:t>
      </w:r>
    </w:p>
    <w:p w14:paraId="43E81367" w14:textId="0020AB9C" w:rsidR="003963E6" w:rsidRPr="004E3050" w:rsidRDefault="003963E6" w:rsidP="003963E6">
      <w:pPr>
        <w:rPr>
          <w:i/>
          <w:iCs/>
        </w:rPr>
      </w:pPr>
      <w:r w:rsidRPr="003963E6">
        <w:rPr>
          <w:i/>
          <w:iCs/>
        </w:rPr>
        <w:lastRenderedPageBreak/>
        <w:t>c. Scoring System</w:t>
      </w:r>
    </w:p>
    <w:p w14:paraId="393D34E7" w14:textId="77777777" w:rsidR="003963E6" w:rsidRDefault="003963E6" w:rsidP="003963E6">
      <w:r>
        <w:t>Each criterion is scored on a scale (e.g., 1-5), with higher scores indicating greater likelihood of overturn.</w:t>
      </w:r>
    </w:p>
    <w:p w14:paraId="7C235DA0" w14:textId="77777777" w:rsidR="003963E6" w:rsidRDefault="003963E6" w:rsidP="003963E6">
      <w:r>
        <w:t>The total score determines the likelihood rating:</w:t>
      </w:r>
    </w:p>
    <w:p w14:paraId="73CBCFEA" w14:textId="77777777" w:rsidR="003963E6" w:rsidRDefault="003963E6" w:rsidP="003963E6">
      <w:pPr>
        <w:pStyle w:val="ListParagraph"/>
        <w:numPr>
          <w:ilvl w:val="0"/>
          <w:numId w:val="17"/>
        </w:numPr>
      </w:pPr>
      <w:r>
        <w:t>High Likelihood: ≥ [X] points</w:t>
      </w:r>
    </w:p>
    <w:p w14:paraId="6CF42989" w14:textId="77777777" w:rsidR="003963E6" w:rsidRDefault="003963E6" w:rsidP="003963E6">
      <w:pPr>
        <w:pStyle w:val="ListParagraph"/>
        <w:numPr>
          <w:ilvl w:val="0"/>
          <w:numId w:val="17"/>
        </w:numPr>
      </w:pPr>
      <w:r>
        <w:t>Moderate Likelihood: [Y-Z] points</w:t>
      </w:r>
    </w:p>
    <w:p w14:paraId="6DEA4B67" w14:textId="77777777" w:rsidR="003963E6" w:rsidRDefault="003963E6" w:rsidP="003963E6">
      <w:pPr>
        <w:pStyle w:val="ListParagraph"/>
        <w:numPr>
          <w:ilvl w:val="0"/>
          <w:numId w:val="17"/>
        </w:numPr>
      </w:pPr>
      <w:r>
        <w:t>Low Likelihood: ≤ [W] points</w:t>
      </w:r>
    </w:p>
    <w:p w14:paraId="505B9824" w14:textId="77777777" w:rsidR="003963E6" w:rsidRPr="003963E6" w:rsidRDefault="003963E6" w:rsidP="003963E6">
      <w:pPr>
        <w:rPr>
          <w:b/>
          <w:bCs/>
        </w:rPr>
      </w:pPr>
      <w:r w:rsidRPr="003963E6">
        <w:rPr>
          <w:b/>
          <w:bCs/>
        </w:rPr>
        <w:t>2. Evaluation Process</w:t>
      </w:r>
    </w:p>
    <w:p w14:paraId="46DBD363" w14:textId="00644030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 xml:space="preserve">a. Review </w:t>
      </w:r>
      <w:r w:rsidRPr="004E3050">
        <w:rPr>
          <w:i/>
          <w:iCs/>
        </w:rPr>
        <w:t>Completed</w:t>
      </w:r>
      <w:r w:rsidRPr="004E3050">
        <w:rPr>
          <w:i/>
          <w:iCs/>
        </w:rPr>
        <w:t xml:space="preserve"> Appeal</w:t>
      </w:r>
    </w:p>
    <w:p w14:paraId="7A4949C3" w14:textId="05C785CC" w:rsidR="003963E6" w:rsidRDefault="003963E6" w:rsidP="003963E6">
      <w:r>
        <w:t xml:space="preserve">Appeal writer reviews the </w:t>
      </w:r>
      <w:r w:rsidR="004E3050">
        <w:t>completed</w:t>
      </w:r>
      <w:r>
        <w:t xml:space="preserve"> appeal letter and all supplemental documentation.</w:t>
      </w:r>
    </w:p>
    <w:p w14:paraId="5455D1A4" w14:textId="1915C192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b. Complete Scorecard</w:t>
      </w:r>
    </w:p>
    <w:p w14:paraId="7B585A57" w14:textId="72AFAE37" w:rsidR="003963E6" w:rsidRDefault="003963E6" w:rsidP="003963E6">
      <w:r>
        <w:t>Each criterion is objectively scored based on the quality and content of the appeal.</w:t>
      </w:r>
    </w:p>
    <w:p w14:paraId="07832013" w14:textId="58BB6C50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c. Document Score</w:t>
      </w:r>
    </w:p>
    <w:p w14:paraId="4C72275C" w14:textId="77777777" w:rsidR="003963E6" w:rsidRDefault="003963E6" w:rsidP="003963E6">
      <w:r>
        <w:t xml:space="preserve">The completed scorecard and total score are documented in the patient’s appeal record and flagged in the </w:t>
      </w:r>
      <w:proofErr w:type="gramStart"/>
      <w:r>
        <w:t>appeals</w:t>
      </w:r>
      <w:proofErr w:type="gramEnd"/>
      <w:r>
        <w:t xml:space="preserve"> tracking system.</w:t>
      </w:r>
    </w:p>
    <w:p w14:paraId="4B2E4B5C" w14:textId="44FEC9FF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d. Follow-Up</w:t>
      </w:r>
    </w:p>
    <w:p w14:paraId="4A0DE3E9" w14:textId="77777777" w:rsidR="003963E6" w:rsidRDefault="003963E6" w:rsidP="003963E6">
      <w:r>
        <w:t>Appeals with moderate to high likelihood are prioritized for proactive follow-up with payers and communication with patients/providers.</w:t>
      </w:r>
    </w:p>
    <w:p w14:paraId="11ED332B" w14:textId="77777777" w:rsidR="003963E6" w:rsidRDefault="003963E6" w:rsidP="003963E6">
      <w:r>
        <w:t>Appeals with low likelihood may be escalated for supervisor review, additional evidence gathering, or consideration for further appeal levels.</w:t>
      </w:r>
    </w:p>
    <w:p w14:paraId="53D0C413" w14:textId="77777777" w:rsidR="003963E6" w:rsidRPr="004E3050" w:rsidRDefault="003963E6" w:rsidP="003963E6">
      <w:pPr>
        <w:rPr>
          <w:b/>
          <w:bCs/>
        </w:rPr>
      </w:pPr>
      <w:r w:rsidRPr="004E3050">
        <w:rPr>
          <w:b/>
          <w:bCs/>
        </w:rPr>
        <w:t>3. Quality Assurance</w:t>
      </w:r>
    </w:p>
    <w:p w14:paraId="6F657E83" w14:textId="7D982701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a. Periodic Review</w:t>
      </w:r>
    </w:p>
    <w:p w14:paraId="23B360FA" w14:textId="77777777" w:rsidR="003963E6" w:rsidRDefault="003963E6" w:rsidP="003963E6">
      <w:r>
        <w:t>Supervisors will audit a random sample of scored appeals monthly to ensure consistent application of the scorecard and identify trends in overturn rates.</w:t>
      </w:r>
    </w:p>
    <w:p w14:paraId="05BF4637" w14:textId="511D5CBB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b. Training</w:t>
      </w:r>
    </w:p>
    <w:p w14:paraId="15F5581E" w14:textId="6E7B4613" w:rsidR="003963E6" w:rsidRDefault="003963E6" w:rsidP="003963E6">
      <w:r>
        <w:t>Appeal writers will receive initial and annual training on scorecard use.</w:t>
      </w:r>
    </w:p>
    <w:p w14:paraId="004229DB" w14:textId="77777777" w:rsidR="003963E6" w:rsidRPr="004E3050" w:rsidRDefault="003963E6" w:rsidP="003963E6">
      <w:pPr>
        <w:rPr>
          <w:i/>
          <w:iCs/>
        </w:rPr>
      </w:pPr>
      <w:r w:rsidRPr="004E3050">
        <w:rPr>
          <w:i/>
          <w:iCs/>
        </w:rPr>
        <w:t>c. Continuous Improvement</w:t>
      </w:r>
    </w:p>
    <w:p w14:paraId="054C5775" w14:textId="77777777" w:rsidR="003963E6" w:rsidRDefault="003963E6" w:rsidP="003963E6"/>
    <w:p w14:paraId="5CC3CD04" w14:textId="77777777" w:rsidR="003963E6" w:rsidRDefault="003963E6" w:rsidP="003963E6">
      <w:r>
        <w:lastRenderedPageBreak/>
        <w:t>Data from scorecard evaluations and actual overturn outcomes will be analyzed regularly to refine scoring criteria and improve appeal strategies.</w:t>
      </w:r>
    </w:p>
    <w:p w14:paraId="5E9CEC6D" w14:textId="77777777" w:rsidR="003963E6" w:rsidRPr="00937DF1" w:rsidRDefault="003963E6" w:rsidP="003963E6">
      <w:pPr>
        <w:rPr>
          <w:i/>
          <w:iCs/>
        </w:rPr>
      </w:pPr>
      <w:r w:rsidRPr="00937DF1">
        <w:rPr>
          <w:i/>
          <w:iCs/>
        </w:rPr>
        <w:t>4. Compliance</w:t>
      </w:r>
    </w:p>
    <w:p w14:paraId="452700B7" w14:textId="77777777" w:rsidR="003963E6" w:rsidRDefault="003963E6" w:rsidP="003963E6">
      <w:r>
        <w:t>All post-drafting evaluations and documentation must comply with HIPAA and organizational privacy policies.</w:t>
      </w:r>
    </w:p>
    <w:p w14:paraId="045354A2" w14:textId="77777777" w:rsidR="003963E6" w:rsidRDefault="003963E6" w:rsidP="003963E6">
      <w:r>
        <w:t>Scorecards and related documentation must be retained per [organization’s record retention policy].</w:t>
      </w:r>
    </w:p>
    <w:p w14:paraId="0BE290C3" w14:textId="77777777" w:rsidR="003963E6" w:rsidRPr="00937DF1" w:rsidRDefault="003963E6" w:rsidP="003963E6">
      <w:pPr>
        <w:rPr>
          <w:b/>
          <w:bCs/>
        </w:rPr>
      </w:pPr>
      <w:r w:rsidRPr="00937DF1">
        <w:rPr>
          <w:b/>
          <w:bCs/>
        </w:rPr>
        <w:t>Responsibilities</w:t>
      </w:r>
    </w:p>
    <w:p w14:paraId="0DD84E60" w14:textId="452DAF06" w:rsidR="003963E6" w:rsidRDefault="003963E6" w:rsidP="003963E6">
      <w:r w:rsidRPr="00937DF1">
        <w:rPr>
          <w:i/>
          <w:iCs/>
        </w:rPr>
        <w:t>Appeal Writers</w:t>
      </w:r>
      <w:r>
        <w:t>: Complete post-drafting scorecard for each appeal, document findings</w:t>
      </w:r>
    </w:p>
    <w:p w14:paraId="3E4381EE" w14:textId="29C0A7C9" w:rsidR="003963E6" w:rsidRDefault="003963E6" w:rsidP="003963E6">
      <w:r w:rsidRPr="00937DF1">
        <w:rPr>
          <w:i/>
          <w:iCs/>
        </w:rPr>
        <w:t>Supervisors</w:t>
      </w:r>
      <w:r>
        <w:t xml:space="preserve">: </w:t>
      </w:r>
      <w:r w:rsidR="00AF500B">
        <w:t>D</w:t>
      </w:r>
      <w:r w:rsidR="00AF500B">
        <w:t>etermine/inform appropriate personnel of follow-up actions</w:t>
      </w:r>
      <w:r w:rsidR="00AF500B">
        <w:t>, a</w:t>
      </w:r>
      <w:r>
        <w:t>udit scorecard use, provide guidance, and update scorecard criteria as needed.</w:t>
      </w:r>
    </w:p>
    <w:p w14:paraId="3EDC651F" w14:textId="77777777" w:rsidR="003963E6" w:rsidRDefault="003963E6" w:rsidP="003963E6">
      <w:r w:rsidRPr="00937DF1">
        <w:rPr>
          <w:i/>
          <w:iCs/>
        </w:rPr>
        <w:t>Compliance Officer</w:t>
      </w:r>
      <w:r>
        <w:t>: Ensure policy adherence and regulatory compliance.</w:t>
      </w:r>
    </w:p>
    <w:p w14:paraId="2820320D" w14:textId="77777777" w:rsidR="003963E6" w:rsidRPr="00937DF1" w:rsidRDefault="003963E6" w:rsidP="003963E6">
      <w:pPr>
        <w:rPr>
          <w:b/>
          <w:bCs/>
        </w:rPr>
      </w:pPr>
      <w:r w:rsidRPr="00937DF1">
        <w:rPr>
          <w:b/>
          <w:bCs/>
        </w:rPr>
        <w:t>References</w:t>
      </w:r>
    </w:p>
    <w:p w14:paraId="762CE3C0" w14:textId="77777777" w:rsidR="003963E6" w:rsidRDefault="003963E6" w:rsidP="003963E6">
      <w:r>
        <w:t xml:space="preserve">[List relevant </w:t>
      </w:r>
      <w:proofErr w:type="gramStart"/>
      <w:r>
        <w:t>payer</w:t>
      </w:r>
      <w:proofErr w:type="gramEnd"/>
      <w:r>
        <w:t xml:space="preserve"> guidelines, organizational policies, and regulatory requirements]</w:t>
      </w:r>
    </w:p>
    <w:p w14:paraId="332A4472" w14:textId="77777777" w:rsidR="003963E6" w:rsidRDefault="003963E6" w:rsidP="003963E6">
      <w:r>
        <w:t>Effective Date</w:t>
      </w:r>
    </w:p>
    <w:p w14:paraId="7790A174" w14:textId="77777777" w:rsidR="003963E6" w:rsidRDefault="003963E6" w:rsidP="003963E6">
      <w:r>
        <w:t>[Insert date]</w:t>
      </w:r>
    </w:p>
    <w:p w14:paraId="028EC965" w14:textId="77777777" w:rsidR="003963E6" w:rsidRDefault="003963E6" w:rsidP="003963E6">
      <w:r>
        <w:t>Review Date</w:t>
      </w:r>
    </w:p>
    <w:p w14:paraId="151B41DA" w14:textId="3AD0CAAF" w:rsidR="00AC245B" w:rsidRDefault="003963E6" w:rsidP="003963E6">
      <w:r>
        <w:t>[Insert date for next scheduled review]</w:t>
      </w:r>
    </w:p>
    <w:sectPr w:rsidR="00AC2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E23"/>
    <w:multiLevelType w:val="multilevel"/>
    <w:tmpl w:val="1A4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43297"/>
    <w:multiLevelType w:val="multilevel"/>
    <w:tmpl w:val="EDDE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161E7"/>
    <w:multiLevelType w:val="multilevel"/>
    <w:tmpl w:val="706A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2B4F"/>
    <w:multiLevelType w:val="multilevel"/>
    <w:tmpl w:val="426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D5EB7"/>
    <w:multiLevelType w:val="multilevel"/>
    <w:tmpl w:val="D4E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4093"/>
    <w:multiLevelType w:val="hybridMultilevel"/>
    <w:tmpl w:val="301E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F22EA"/>
    <w:multiLevelType w:val="multilevel"/>
    <w:tmpl w:val="29D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B6D83"/>
    <w:multiLevelType w:val="multilevel"/>
    <w:tmpl w:val="FC4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15D55"/>
    <w:multiLevelType w:val="multilevel"/>
    <w:tmpl w:val="AED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76665"/>
    <w:multiLevelType w:val="multilevel"/>
    <w:tmpl w:val="04E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B519F"/>
    <w:multiLevelType w:val="multilevel"/>
    <w:tmpl w:val="1762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4633A"/>
    <w:multiLevelType w:val="multilevel"/>
    <w:tmpl w:val="CB26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03ADA"/>
    <w:multiLevelType w:val="multilevel"/>
    <w:tmpl w:val="17A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61A14"/>
    <w:multiLevelType w:val="multilevel"/>
    <w:tmpl w:val="28B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57F01"/>
    <w:multiLevelType w:val="multilevel"/>
    <w:tmpl w:val="527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471D1"/>
    <w:multiLevelType w:val="multilevel"/>
    <w:tmpl w:val="7FD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E0311"/>
    <w:multiLevelType w:val="hybridMultilevel"/>
    <w:tmpl w:val="D688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59417">
    <w:abstractNumId w:val="12"/>
  </w:num>
  <w:num w:numId="2" w16cid:durableId="1760980417">
    <w:abstractNumId w:val="15"/>
  </w:num>
  <w:num w:numId="3" w16cid:durableId="296381488">
    <w:abstractNumId w:val="8"/>
  </w:num>
  <w:num w:numId="4" w16cid:durableId="1762528086">
    <w:abstractNumId w:val="10"/>
  </w:num>
  <w:num w:numId="5" w16cid:durableId="1955861277">
    <w:abstractNumId w:val="4"/>
  </w:num>
  <w:num w:numId="6" w16cid:durableId="1054044209">
    <w:abstractNumId w:val="0"/>
  </w:num>
  <w:num w:numId="7" w16cid:durableId="972909826">
    <w:abstractNumId w:val="11"/>
  </w:num>
  <w:num w:numId="8" w16cid:durableId="1469781596">
    <w:abstractNumId w:val="7"/>
  </w:num>
  <w:num w:numId="9" w16cid:durableId="545871687">
    <w:abstractNumId w:val="13"/>
  </w:num>
  <w:num w:numId="10" w16cid:durableId="1178272579">
    <w:abstractNumId w:val="3"/>
  </w:num>
  <w:num w:numId="11" w16cid:durableId="665674796">
    <w:abstractNumId w:val="9"/>
  </w:num>
  <w:num w:numId="12" w16cid:durableId="901015367">
    <w:abstractNumId w:val="6"/>
  </w:num>
  <w:num w:numId="13" w16cid:durableId="189684785">
    <w:abstractNumId w:val="14"/>
  </w:num>
  <w:num w:numId="14" w16cid:durableId="1182669421">
    <w:abstractNumId w:val="2"/>
  </w:num>
  <w:num w:numId="15" w16cid:durableId="804588216">
    <w:abstractNumId w:val="1"/>
  </w:num>
  <w:num w:numId="16" w16cid:durableId="97799322">
    <w:abstractNumId w:val="16"/>
  </w:num>
  <w:num w:numId="17" w16cid:durableId="23266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6"/>
    <w:rsid w:val="00051632"/>
    <w:rsid w:val="00142633"/>
    <w:rsid w:val="003963E6"/>
    <w:rsid w:val="004E3050"/>
    <w:rsid w:val="00937DF1"/>
    <w:rsid w:val="00AC245B"/>
    <w:rsid w:val="00AF500B"/>
    <w:rsid w:val="00E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4D"/>
  <w15:chartTrackingRefBased/>
  <w15:docId w15:val="{0A4D0BD3-E9C7-4B20-8CAF-7E7F1F14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Hiravi</dc:creator>
  <cp:keywords/>
  <dc:description/>
  <cp:lastModifiedBy>Karla Hiravi</cp:lastModifiedBy>
  <cp:revision>2</cp:revision>
  <dcterms:created xsi:type="dcterms:W3CDTF">2025-08-08T16:09:00Z</dcterms:created>
  <dcterms:modified xsi:type="dcterms:W3CDTF">2025-08-08T16:44:00Z</dcterms:modified>
</cp:coreProperties>
</file>