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7429780"/>
    <w:p w14:paraId="54E1B41D" w14:textId="77777777" w:rsidR="00AF5935" w:rsidRPr="00031D0D" w:rsidRDefault="00AF5935" w:rsidP="00AF5935">
      <w:pPr>
        <w:widowControl w:val="0"/>
        <w:autoSpaceDE w:val="0"/>
        <w:autoSpaceDN w:val="0"/>
        <w:adjustRightInd w:val="0"/>
        <w:spacing w:after="0" w:afterAutospacing="1" w:line="240" w:lineRule="auto"/>
        <w:rPr>
          <w:color w:val="000000"/>
        </w:rPr>
      </w:pPr>
      <w:r>
        <w:rPr>
          <w:rFonts w:ascii="Times New Roman" w:hAnsi="Times New Roman"/>
          <w:sz w:val="24"/>
          <w:szCs w:val="24"/>
        </w:rPr>
        <w:fldChar w:fldCharType="begin"/>
      </w:r>
      <w:r>
        <w:rPr>
          <w:rFonts w:ascii="Times New Roman" w:hAnsi="Times New Roman"/>
          <w:sz w:val="24"/>
          <w:szCs w:val="24"/>
        </w:rPr>
        <w:instrText xml:space="preserve"> MERGEFIELD TableStart:PATIENTINFO </w:instrText>
      </w:r>
      <w:r>
        <w:rPr>
          <w:rFonts w:ascii="Times New Roman" w:hAnsi="Times New Roman"/>
          <w:sz w:val="24"/>
          <w:szCs w:val="24"/>
        </w:rPr>
        <w:fldChar w:fldCharType="separate"/>
      </w:r>
      <w:r>
        <w:rPr>
          <w:rFonts w:ascii="Times New Roman" w:hAnsi="Times New Roman"/>
          <w:noProof/>
          <w:sz w:val="24"/>
          <w:szCs w:val="24"/>
        </w:rPr>
        <w:t>«TableStart:PATIENTINFO»</w:t>
      </w:r>
      <w:r>
        <w:rPr>
          <w:rFonts w:ascii="Times New Roman" w:hAnsi="Times New Roman"/>
          <w:sz w:val="24"/>
          <w:szCs w:val="24"/>
        </w:rPr>
        <w:fldChar w:fldCharType="end"/>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6171"/>
      </w:tblGrid>
      <w:tr w:rsidR="00AF5935" w:rsidRPr="00B54C3C" w14:paraId="1B1B6390" w14:textId="77777777" w:rsidTr="00913C29">
        <w:trPr>
          <w:trHeight w:val="20"/>
        </w:trPr>
        <w:tc>
          <w:tcPr>
            <w:tcW w:w="1663" w:type="pct"/>
            <w:shd w:val="clear" w:color="auto" w:fill="D9D9D9"/>
            <w:vAlign w:val="center"/>
          </w:tcPr>
          <w:p w14:paraId="71C796E5"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Beneficiary Name</w:t>
            </w:r>
          </w:p>
        </w:tc>
        <w:tc>
          <w:tcPr>
            <w:tcW w:w="3337" w:type="pct"/>
            <w:shd w:val="clear" w:color="auto" w:fill="auto"/>
            <w:vAlign w:val="center"/>
          </w:tcPr>
          <w:p w14:paraId="10F4D1A5" w14:textId="77777777" w:rsidR="00AF5935" w:rsidRPr="00B54C3C" w:rsidRDefault="00AF5935" w:rsidP="00913C29">
            <w:pPr>
              <w:spacing w:after="0" w:line="240" w:lineRule="auto"/>
              <w:rPr>
                <w:rFonts w:ascii="Times New Roman" w:eastAsia="Calibri" w:hAnsi="Times New Roman" w:cs="Times New Roman"/>
                <w:sz w:val="24"/>
              </w:rPr>
            </w:pPr>
            <w:r w:rsidRPr="00B54C3C">
              <w:rPr>
                <w:rFonts w:ascii="Times New Roman" w:eastAsia="Calibri" w:hAnsi="Times New Roman" w:cs="Times New Roman"/>
                <w:sz w:val="24"/>
              </w:rPr>
              <w:fldChar w:fldCharType="begin"/>
            </w:r>
            <w:r w:rsidRPr="00B54C3C">
              <w:rPr>
                <w:rFonts w:ascii="Times New Roman" w:eastAsia="Calibri" w:hAnsi="Times New Roman" w:cs="Times New Roman"/>
                <w:sz w:val="24"/>
              </w:rPr>
              <w:instrText xml:space="preserve"> MERGEFIELD </w:instrText>
            </w:r>
            <w:r w:rsidRPr="00B54C3C">
              <w:rPr>
                <w:rFonts w:ascii="Times New Roman" w:eastAsia="Calibri" w:hAnsi="Times New Roman" w:cs="Times New Roman"/>
                <w:bCs/>
                <w:sz w:val="24"/>
                <w:lang w:bidi="en-US"/>
              </w:rPr>
              <w:instrText>PAT_Full_Name</w:instrText>
            </w:r>
            <w:r w:rsidRPr="00B54C3C">
              <w:rPr>
                <w:rFonts w:ascii="Times New Roman" w:eastAsia="Calibri" w:hAnsi="Times New Roman" w:cs="Times New Roman"/>
                <w:sz w:val="24"/>
              </w:rPr>
              <w:instrText xml:space="preserve"> </w:instrText>
            </w:r>
            <w:r w:rsidRPr="00B54C3C">
              <w:rPr>
                <w:rFonts w:ascii="Times New Roman" w:eastAsia="Calibri" w:hAnsi="Times New Roman" w:cs="Times New Roman"/>
                <w:sz w:val="24"/>
              </w:rPr>
              <w:fldChar w:fldCharType="separate"/>
            </w:r>
            <w:r w:rsidRPr="00B54C3C">
              <w:rPr>
                <w:rFonts w:ascii="Times New Roman" w:eastAsia="Calibri" w:hAnsi="Times New Roman" w:cs="Times New Roman"/>
                <w:noProof/>
                <w:sz w:val="24"/>
              </w:rPr>
              <w:t>«PAT_Full_Name»</w:t>
            </w:r>
            <w:r w:rsidRPr="00B54C3C">
              <w:rPr>
                <w:rFonts w:ascii="Times New Roman" w:eastAsia="Calibri" w:hAnsi="Times New Roman" w:cs="Times New Roman"/>
                <w:sz w:val="24"/>
              </w:rPr>
              <w:fldChar w:fldCharType="end"/>
            </w:r>
          </w:p>
        </w:tc>
      </w:tr>
      <w:tr w:rsidR="00AF5935" w:rsidRPr="00B54C3C" w14:paraId="7690D011" w14:textId="77777777" w:rsidTr="00913C29">
        <w:trPr>
          <w:trHeight w:val="20"/>
        </w:trPr>
        <w:tc>
          <w:tcPr>
            <w:tcW w:w="1663" w:type="pct"/>
            <w:shd w:val="clear" w:color="auto" w:fill="D9D9D9"/>
            <w:vAlign w:val="center"/>
          </w:tcPr>
          <w:p w14:paraId="04C73CC5"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 xml:space="preserve">Member ID or </w:t>
            </w:r>
          </w:p>
          <w:p w14:paraId="6A73008B" w14:textId="77777777" w:rsidR="00AF5935" w:rsidRPr="00B54C3C" w:rsidRDefault="00AF5935" w:rsidP="00913C29">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MBI</w:t>
            </w:r>
            <w:r w:rsidRPr="00B54C3C">
              <w:rPr>
                <w:rFonts w:ascii="Times New Roman" w:eastAsia="Calibri" w:hAnsi="Times New Roman" w:cs="Times New Roman"/>
                <w:b/>
                <w:sz w:val="24"/>
              </w:rPr>
              <w:t xml:space="preserve"> Number:</w:t>
            </w:r>
          </w:p>
        </w:tc>
        <w:tc>
          <w:tcPr>
            <w:tcW w:w="3337" w:type="pct"/>
            <w:shd w:val="clear" w:color="auto" w:fill="auto"/>
            <w:vAlign w:val="center"/>
          </w:tcPr>
          <w:p w14:paraId="58E8D06D" w14:textId="77777777" w:rsidR="00AF5935" w:rsidRPr="00B54C3C" w:rsidRDefault="00AF5935" w:rsidP="00913C29">
            <w:pPr>
              <w:spacing w:after="0" w:line="240" w:lineRule="auto"/>
              <w:rPr>
                <w:rFonts w:ascii="Times New Roman" w:eastAsia="Calibri" w:hAnsi="Times New Roman" w:cs="Times New Roman"/>
                <w:sz w:val="24"/>
              </w:rPr>
            </w:pPr>
            <w:r w:rsidRPr="00B54C3C">
              <w:rPr>
                <w:rFonts w:ascii="Times New Roman" w:eastAsia="Calibri" w:hAnsi="Times New Roman" w:cs="Times New Roman"/>
                <w:sz w:val="24"/>
                <w:szCs w:val="24"/>
              </w:rPr>
              <w:fldChar w:fldCharType="begin"/>
            </w:r>
            <w:r w:rsidRPr="00B54C3C">
              <w:rPr>
                <w:rFonts w:ascii="Times New Roman" w:eastAsia="Calibri" w:hAnsi="Times New Roman" w:cs="Times New Roman"/>
                <w:sz w:val="24"/>
                <w:szCs w:val="24"/>
              </w:rPr>
              <w:instrText xml:space="preserve"> MERGEFIELD MEMBER_ID </w:instrText>
            </w:r>
            <w:r w:rsidRPr="00B54C3C">
              <w:rPr>
                <w:rFonts w:ascii="Times New Roman" w:eastAsia="Calibri" w:hAnsi="Times New Roman" w:cs="Times New Roman"/>
                <w:sz w:val="24"/>
                <w:szCs w:val="24"/>
              </w:rPr>
              <w:fldChar w:fldCharType="separate"/>
            </w:r>
            <w:r w:rsidRPr="00B54C3C">
              <w:rPr>
                <w:rFonts w:ascii="Times New Roman" w:eastAsia="Calibri" w:hAnsi="Times New Roman" w:cs="Times New Roman"/>
                <w:noProof/>
                <w:sz w:val="24"/>
                <w:szCs w:val="24"/>
              </w:rPr>
              <w:t>«MEMBER_ID»</w:t>
            </w:r>
            <w:r w:rsidRPr="00B54C3C">
              <w:rPr>
                <w:rFonts w:ascii="Times New Roman" w:eastAsia="Calibri" w:hAnsi="Times New Roman" w:cs="Times New Roman"/>
                <w:sz w:val="24"/>
                <w:szCs w:val="24"/>
              </w:rPr>
              <w:fldChar w:fldCharType="end"/>
            </w:r>
          </w:p>
        </w:tc>
      </w:tr>
      <w:tr w:rsidR="00AF5935" w:rsidRPr="00B54C3C" w14:paraId="220E05CE" w14:textId="77777777" w:rsidTr="00913C29">
        <w:trPr>
          <w:trHeight w:val="20"/>
        </w:trPr>
        <w:tc>
          <w:tcPr>
            <w:tcW w:w="1663" w:type="pct"/>
            <w:shd w:val="clear" w:color="auto" w:fill="D9D9D9"/>
            <w:vAlign w:val="center"/>
          </w:tcPr>
          <w:p w14:paraId="2C8B20A7"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Claim Dates of Service</w:t>
            </w:r>
          </w:p>
        </w:tc>
        <w:tc>
          <w:tcPr>
            <w:tcW w:w="3337" w:type="pct"/>
            <w:shd w:val="clear" w:color="auto" w:fill="auto"/>
            <w:vAlign w:val="center"/>
          </w:tcPr>
          <w:p w14:paraId="70705F89" w14:textId="77777777" w:rsidR="00AF5935" w:rsidRPr="00B54C3C" w:rsidRDefault="00AF5935" w:rsidP="00913C29">
            <w:pPr>
              <w:spacing w:after="0" w:line="240" w:lineRule="auto"/>
              <w:rPr>
                <w:rFonts w:ascii="Times New Roman" w:eastAsia="Calibri" w:hAnsi="Times New Roman" w:cs="Times New Roman"/>
                <w:i/>
                <w:sz w:val="24"/>
              </w:rPr>
            </w:pPr>
            <w:r w:rsidRPr="00B54C3C">
              <w:rPr>
                <w:rFonts w:ascii="Times New Roman" w:eastAsia="Calibri" w:hAnsi="Times New Roman" w:cs="Times New Roman"/>
                <w:sz w:val="24"/>
              </w:rPr>
              <w:fldChar w:fldCharType="begin"/>
            </w:r>
            <w:r w:rsidRPr="00B54C3C">
              <w:rPr>
                <w:rFonts w:ascii="Times New Roman" w:eastAsia="Calibri" w:hAnsi="Times New Roman" w:cs="Times New Roman"/>
                <w:sz w:val="24"/>
              </w:rPr>
              <w:instrText xml:space="preserve"> MERGEFIELD Svc_From </w:instrText>
            </w:r>
            <w:r w:rsidRPr="00B54C3C">
              <w:rPr>
                <w:rFonts w:ascii="Times New Roman" w:eastAsia="Calibri" w:hAnsi="Times New Roman" w:cs="Times New Roman"/>
                <w:sz w:val="24"/>
              </w:rPr>
              <w:fldChar w:fldCharType="separate"/>
            </w:r>
            <w:r w:rsidRPr="00B54C3C">
              <w:rPr>
                <w:rFonts w:ascii="Times New Roman" w:eastAsia="Calibri" w:hAnsi="Times New Roman" w:cs="Times New Roman"/>
                <w:noProof/>
                <w:sz w:val="24"/>
              </w:rPr>
              <w:t>«Svc_From»</w:t>
            </w:r>
            <w:r w:rsidRPr="00B54C3C">
              <w:rPr>
                <w:rFonts w:ascii="Times New Roman" w:eastAsia="Calibri" w:hAnsi="Times New Roman" w:cs="Times New Roman"/>
                <w:noProof/>
                <w:sz w:val="24"/>
              </w:rPr>
              <w:fldChar w:fldCharType="end"/>
            </w:r>
            <w:r w:rsidRPr="00B54C3C">
              <w:rPr>
                <w:rFonts w:ascii="Times New Roman" w:eastAsia="Calibri" w:hAnsi="Times New Roman" w:cs="Times New Roman"/>
                <w:sz w:val="24"/>
              </w:rPr>
              <w:t xml:space="preserve"> - </w:t>
            </w:r>
            <w:r w:rsidRPr="00B54C3C">
              <w:rPr>
                <w:rFonts w:ascii="Times New Roman" w:eastAsia="Calibri" w:hAnsi="Times New Roman" w:cs="Times New Roman"/>
                <w:sz w:val="24"/>
              </w:rPr>
              <w:fldChar w:fldCharType="begin"/>
            </w:r>
            <w:r w:rsidRPr="00B54C3C">
              <w:rPr>
                <w:rFonts w:ascii="Times New Roman" w:eastAsia="Calibri" w:hAnsi="Times New Roman" w:cs="Times New Roman"/>
                <w:sz w:val="24"/>
              </w:rPr>
              <w:instrText xml:space="preserve"> MERGEFIELD Svc_To </w:instrText>
            </w:r>
            <w:r w:rsidRPr="00B54C3C">
              <w:rPr>
                <w:rFonts w:ascii="Times New Roman" w:eastAsia="Calibri" w:hAnsi="Times New Roman" w:cs="Times New Roman"/>
                <w:sz w:val="24"/>
              </w:rPr>
              <w:fldChar w:fldCharType="separate"/>
            </w:r>
            <w:r w:rsidRPr="00B54C3C">
              <w:rPr>
                <w:rFonts w:ascii="Times New Roman" w:eastAsia="Calibri" w:hAnsi="Times New Roman" w:cs="Times New Roman"/>
                <w:noProof/>
                <w:sz w:val="24"/>
              </w:rPr>
              <w:t>«Svc_To»</w:t>
            </w:r>
            <w:r w:rsidRPr="00B54C3C">
              <w:rPr>
                <w:rFonts w:ascii="Times New Roman" w:eastAsia="Calibri" w:hAnsi="Times New Roman" w:cs="Times New Roman"/>
                <w:noProof/>
                <w:sz w:val="24"/>
              </w:rPr>
              <w:fldChar w:fldCharType="end"/>
            </w:r>
          </w:p>
        </w:tc>
      </w:tr>
      <w:tr w:rsidR="00AF5935" w:rsidRPr="00B54C3C" w14:paraId="293C3041" w14:textId="77777777" w:rsidTr="00913C29">
        <w:trPr>
          <w:trHeight w:val="20"/>
        </w:trPr>
        <w:tc>
          <w:tcPr>
            <w:tcW w:w="1663" w:type="pct"/>
            <w:shd w:val="clear" w:color="auto" w:fill="D9D9D9"/>
            <w:vAlign w:val="center"/>
          </w:tcPr>
          <w:p w14:paraId="0F016D35"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Reason(s) for Denial</w:t>
            </w:r>
          </w:p>
        </w:tc>
        <w:tc>
          <w:tcPr>
            <w:tcW w:w="3337" w:type="pct"/>
            <w:shd w:val="clear" w:color="auto" w:fill="auto"/>
            <w:vAlign w:val="center"/>
          </w:tcPr>
          <w:p w14:paraId="44C734AA" w14:textId="77777777" w:rsidR="00AF5935" w:rsidRPr="00B54C3C" w:rsidRDefault="00AF5935" w:rsidP="00913C29">
            <w:pPr>
              <w:pStyle w:val="NoSpacing"/>
            </w:pPr>
            <w:r w:rsidRPr="00B54C3C">
              <w:t xml:space="preserve">Allegation: Lack of clinical documentation to support the inclusion of </w:t>
            </w:r>
            <w:r w:rsidRPr="00B54C3C">
              <w:rPr>
                <w:i/>
                <w:color w:val="FF0000"/>
              </w:rPr>
              <w:t>specify diagnosis</w:t>
            </w:r>
            <w:r w:rsidRPr="00B54C3C">
              <w:t xml:space="preserve"> as a valid diagnosis on the claim</w:t>
            </w:r>
          </w:p>
        </w:tc>
      </w:tr>
      <w:tr w:rsidR="00AF5935" w:rsidRPr="00B54C3C" w14:paraId="6BAE25B7" w14:textId="77777777" w:rsidTr="00913C29">
        <w:trPr>
          <w:trHeight w:val="20"/>
        </w:trPr>
        <w:tc>
          <w:tcPr>
            <w:tcW w:w="1663" w:type="pct"/>
            <w:shd w:val="clear" w:color="auto" w:fill="D9D9D9"/>
          </w:tcPr>
          <w:p w14:paraId="051406EF"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 xml:space="preserve">Reimbursement </w:t>
            </w:r>
            <w:r>
              <w:rPr>
                <w:rFonts w:ascii="Times New Roman" w:eastAsia="Calibri" w:hAnsi="Times New Roman" w:cs="Times New Roman"/>
                <w:b/>
                <w:sz w:val="24"/>
              </w:rPr>
              <w:t>C</w:t>
            </w:r>
            <w:r w:rsidRPr="00B54C3C">
              <w:rPr>
                <w:rFonts w:ascii="Times New Roman" w:eastAsia="Calibri" w:hAnsi="Times New Roman" w:cs="Times New Roman"/>
                <w:b/>
                <w:sz w:val="24"/>
              </w:rPr>
              <w:t>hange</w:t>
            </w:r>
          </w:p>
        </w:tc>
        <w:tc>
          <w:tcPr>
            <w:tcW w:w="3337" w:type="pct"/>
            <w:shd w:val="clear" w:color="auto" w:fill="auto"/>
          </w:tcPr>
          <w:p w14:paraId="6C5A9FB7" w14:textId="77777777" w:rsidR="00AF5935" w:rsidRPr="00B54C3C" w:rsidRDefault="00AF5935" w:rsidP="00913C29">
            <w:pPr>
              <w:pStyle w:val="NoSpacing"/>
              <w:rPr>
                <w:i/>
              </w:rPr>
            </w:pPr>
            <w:r w:rsidRPr="00B54C3C">
              <w:t xml:space="preserve">Reassignment of DRG </w:t>
            </w:r>
            <w:r w:rsidRPr="00B54C3C">
              <w:rPr>
                <w:i/>
                <w:color w:val="FF0000"/>
              </w:rPr>
              <w:t>specify original DRG number and description</w:t>
            </w:r>
            <w:r w:rsidRPr="00B54C3C">
              <w:t xml:space="preserve"> to DRG </w:t>
            </w:r>
            <w:r w:rsidRPr="00B54C3C">
              <w:rPr>
                <w:i/>
                <w:color w:val="FF0000"/>
              </w:rPr>
              <w:t>specify new DRG number and description</w:t>
            </w:r>
          </w:p>
        </w:tc>
      </w:tr>
      <w:tr w:rsidR="00AF5935" w:rsidRPr="00B54C3C" w14:paraId="2CFBEAB4" w14:textId="77777777" w:rsidTr="00913C29">
        <w:trPr>
          <w:trHeight w:val="20"/>
        </w:trPr>
        <w:tc>
          <w:tcPr>
            <w:tcW w:w="1663" w:type="pct"/>
            <w:shd w:val="clear" w:color="auto" w:fill="D9D9D9"/>
          </w:tcPr>
          <w:p w14:paraId="12E9CF99" w14:textId="77777777" w:rsidR="00AF5935" w:rsidRPr="00B54C3C" w:rsidRDefault="00AF5935" w:rsidP="00913C29">
            <w:pPr>
              <w:spacing w:after="0" w:line="240" w:lineRule="auto"/>
              <w:rPr>
                <w:rFonts w:ascii="Times New Roman" w:eastAsia="Calibri" w:hAnsi="Times New Roman" w:cs="Times New Roman"/>
                <w:b/>
                <w:sz w:val="24"/>
              </w:rPr>
            </w:pPr>
            <w:r w:rsidRPr="00B54C3C">
              <w:rPr>
                <w:rFonts w:ascii="Times New Roman" w:eastAsia="Calibri" w:hAnsi="Times New Roman" w:cs="Times New Roman"/>
                <w:b/>
                <w:sz w:val="24"/>
              </w:rPr>
              <w:t>Principal or Secondary Diagnosis in Question</w:t>
            </w:r>
          </w:p>
        </w:tc>
        <w:tc>
          <w:tcPr>
            <w:tcW w:w="3337" w:type="pct"/>
            <w:shd w:val="clear" w:color="auto" w:fill="auto"/>
          </w:tcPr>
          <w:p w14:paraId="2ECDECA3" w14:textId="77777777" w:rsidR="00AF5935" w:rsidRPr="00BC0821" w:rsidRDefault="00AF5935" w:rsidP="00913C29">
            <w:pPr>
              <w:pStyle w:val="NoSpacing"/>
              <w:rPr>
                <w:szCs w:val="24"/>
              </w:rPr>
            </w:pPr>
            <w:r w:rsidRPr="00BC0821">
              <w:rPr>
                <w:szCs w:val="24"/>
              </w:rPr>
              <w:t>ICD-</w:t>
            </w:r>
            <w:r w:rsidRPr="006D6B91">
              <w:rPr>
                <w:szCs w:val="24"/>
              </w:rPr>
              <w:t>10</w:t>
            </w:r>
            <w:r w:rsidRPr="00BC0821">
              <w:rPr>
                <w:i/>
                <w:szCs w:val="24"/>
              </w:rPr>
              <w:t>-</w:t>
            </w:r>
            <w:r w:rsidRPr="00BC0821">
              <w:rPr>
                <w:szCs w:val="24"/>
              </w:rPr>
              <w:t>CM</w:t>
            </w:r>
            <w:r w:rsidRPr="00BC0821">
              <w:rPr>
                <w:color w:val="FF0000"/>
                <w:szCs w:val="24"/>
              </w:rPr>
              <w:t xml:space="preserve"> </w:t>
            </w:r>
            <w:r w:rsidRPr="00BC0821">
              <w:rPr>
                <w:i/>
                <w:color w:val="FF0000"/>
                <w:szCs w:val="24"/>
              </w:rPr>
              <w:t xml:space="preserve">specify diagnosis or diagnoses in question with ICD-10 </w:t>
            </w:r>
            <w:r>
              <w:rPr>
                <w:i/>
                <w:color w:val="FF0000"/>
                <w:szCs w:val="24"/>
              </w:rPr>
              <w:t>code</w:t>
            </w:r>
            <w:r w:rsidRPr="00BC0821">
              <w:rPr>
                <w:i/>
                <w:color w:val="FF0000"/>
                <w:szCs w:val="24"/>
              </w:rPr>
              <w:t xml:space="preserve"> and description</w:t>
            </w:r>
          </w:p>
        </w:tc>
      </w:tr>
    </w:tbl>
    <w:p w14:paraId="5767CBCA" w14:textId="77777777" w:rsidR="00AF5935" w:rsidRDefault="00AF5935" w:rsidP="00AF5935">
      <w:pPr>
        <w:pStyle w:val="NoSpacing"/>
      </w:pPr>
    </w:p>
    <w:p w14:paraId="4401DA67" w14:textId="77777777" w:rsidR="00AF5935" w:rsidRDefault="00AF5935" w:rsidP="00AF5935">
      <w:pPr>
        <w:pStyle w:val="NoSpacing"/>
        <w:rPr>
          <w:b/>
          <w:bCs/>
        </w:rPr>
      </w:pPr>
      <w:r w:rsidRPr="00C315F2">
        <w:rPr>
          <w:b/>
          <w:bCs/>
          <w:szCs w:val="24"/>
        </w:rPr>
        <w:fldChar w:fldCharType="begin"/>
      </w:r>
      <w:r w:rsidRPr="00C315F2">
        <w:rPr>
          <w:b/>
          <w:bCs/>
          <w:szCs w:val="24"/>
        </w:rPr>
        <w:instrText xml:space="preserve"> MERGEFIELD Facility </w:instrText>
      </w:r>
      <w:r w:rsidRPr="00C315F2">
        <w:rPr>
          <w:b/>
          <w:bCs/>
          <w:szCs w:val="24"/>
        </w:rPr>
        <w:fldChar w:fldCharType="separate"/>
      </w:r>
      <w:r w:rsidRPr="00C315F2">
        <w:rPr>
          <w:b/>
          <w:bCs/>
          <w:noProof/>
          <w:szCs w:val="24"/>
        </w:rPr>
        <w:t>«Facility»</w:t>
      </w:r>
      <w:r w:rsidRPr="00C315F2">
        <w:rPr>
          <w:b/>
          <w:bCs/>
          <w:szCs w:val="24"/>
        </w:rPr>
        <w:fldChar w:fldCharType="end"/>
      </w:r>
      <w:r w:rsidRPr="00C315F2">
        <w:rPr>
          <w:b/>
          <w:bCs/>
          <w:szCs w:val="24"/>
        </w:rPr>
        <w:t xml:space="preserve"> </w:t>
      </w:r>
      <w:r>
        <w:rPr>
          <w:b/>
          <w:bCs/>
        </w:rPr>
        <w:t xml:space="preserve">requests inclusion of diagnosis </w:t>
      </w:r>
      <w:r>
        <w:rPr>
          <w:b/>
          <w:bCs/>
          <w:color w:val="FF0000"/>
        </w:rPr>
        <w:t xml:space="preserve">_ </w:t>
      </w:r>
      <w:r>
        <w:rPr>
          <w:b/>
          <w:bCs/>
        </w:rPr>
        <w:t xml:space="preserve">as a </w:t>
      </w:r>
      <w:r>
        <w:rPr>
          <w:b/>
          <w:bCs/>
          <w:color w:val="FF0000"/>
        </w:rPr>
        <w:t>principal/secondary</w:t>
      </w:r>
      <w:r>
        <w:rPr>
          <w:b/>
          <w:bCs/>
        </w:rPr>
        <w:t xml:space="preserve"> diagnosis code resulting in DRG </w:t>
      </w:r>
      <w:r>
        <w:rPr>
          <w:b/>
          <w:bCs/>
          <w:color w:val="FF0000"/>
        </w:rPr>
        <w:t xml:space="preserve">__ </w:t>
      </w:r>
      <w:r>
        <w:rPr>
          <w:b/>
          <w:bCs/>
        </w:rPr>
        <w:t>as originally billed.</w:t>
      </w:r>
    </w:p>
    <w:p w14:paraId="162468FA" w14:textId="77777777" w:rsidR="00AF5935" w:rsidRDefault="00AF5935" w:rsidP="00AF5935">
      <w:pPr>
        <w:pStyle w:val="NoSpacing"/>
      </w:pPr>
    </w:p>
    <w:p w14:paraId="0DDC0435" w14:textId="77777777" w:rsidR="00AF5935" w:rsidRPr="00DA2A7D" w:rsidRDefault="00AF5935" w:rsidP="00AF5935">
      <w:pPr>
        <w:pStyle w:val="NoSpacing"/>
      </w:pPr>
      <w:r w:rsidRPr="00DA2A7D">
        <w:t xml:space="preserve">Below are significant medical record entries pertaining to </w:t>
      </w:r>
      <w:r w:rsidRPr="00DA2A7D">
        <w:fldChar w:fldCharType="begin"/>
      </w:r>
      <w:r w:rsidRPr="00DA2A7D">
        <w:instrText xml:space="preserve"> MERGEFIELD </w:instrText>
      </w:r>
      <w:r w:rsidRPr="00DA2A7D">
        <w:rPr>
          <w:bCs/>
          <w:lang w:bidi="en-US"/>
        </w:rPr>
        <w:instrText>PAT_Full_Name</w:instrText>
      </w:r>
      <w:r w:rsidRPr="00DA2A7D">
        <w:instrText xml:space="preserve"> </w:instrText>
      </w:r>
      <w:r w:rsidRPr="00DA2A7D">
        <w:fldChar w:fldCharType="separate"/>
      </w:r>
      <w:r w:rsidRPr="00DA2A7D">
        <w:rPr>
          <w:noProof/>
        </w:rPr>
        <w:t>«</w:t>
      </w:r>
      <w:proofErr w:type="spellStart"/>
      <w:r w:rsidRPr="00DA2A7D">
        <w:rPr>
          <w:noProof/>
        </w:rPr>
        <w:t>PAT_Full_Name»</w:t>
      </w:r>
      <w:r w:rsidRPr="00DA2A7D">
        <w:fldChar w:fldCharType="end"/>
      </w:r>
      <w:r w:rsidRPr="00DA2A7D">
        <w:t>’s</w:t>
      </w:r>
      <w:proofErr w:type="spellEnd"/>
      <w:r w:rsidRPr="00DA2A7D">
        <w:t xml:space="preserve"> diagnosis of </w:t>
      </w:r>
      <w:r w:rsidRPr="00DA2A7D">
        <w:rPr>
          <w:i/>
          <w:color w:val="FF0000"/>
        </w:rPr>
        <w:t>Specify Diagnosis</w:t>
      </w:r>
      <w:r w:rsidRPr="00DA2A7D">
        <w:t xml:space="preserve">: </w:t>
      </w:r>
    </w:p>
    <w:p w14:paraId="4C9A205F" w14:textId="77777777" w:rsidR="00AF5935" w:rsidRDefault="00AF5935" w:rsidP="00AF5935">
      <w:pPr>
        <w:pStyle w:val="NoSpacing"/>
      </w:pPr>
    </w:p>
    <w:p w14:paraId="4FD8C26A" w14:textId="77777777" w:rsidR="00AF5935" w:rsidRDefault="00AF5935" w:rsidP="00AF5935">
      <w:pPr>
        <w:pStyle w:val="NoSpacing"/>
        <w:jc w:val="center"/>
        <w:rPr>
          <w:b/>
        </w:rPr>
      </w:pPr>
      <w:bookmarkStart w:id="1" w:name="_Hlk153182211"/>
      <w:r>
        <w:rPr>
          <w:b/>
        </w:rPr>
        <w:t>Interdisciplinary Documentati</w:t>
      </w:r>
      <w:r w:rsidRPr="0096325E">
        <w:rPr>
          <w:b/>
        </w:rPr>
        <w:t>on</w:t>
      </w:r>
    </w:p>
    <w:p w14:paraId="49A7378C" w14:textId="77777777" w:rsidR="00AF5935" w:rsidRPr="00471492" w:rsidRDefault="00AF5935" w:rsidP="00AF5935">
      <w:pPr>
        <w:pStyle w:val="NoSpacing"/>
        <w:rPr>
          <w:b/>
        </w:rPr>
      </w:pPr>
      <w:r>
        <w:rPr>
          <w:i/>
          <w:color w:val="FF0000"/>
        </w:rPr>
        <w:t xml:space="preserve">Identify where the specific diagnosis is entered by the physician or individual licensed to diagnose patients. </w:t>
      </w:r>
      <w:r>
        <w:rPr>
          <w:i/>
          <w:color w:val="FF0000"/>
          <w:szCs w:val="24"/>
        </w:rPr>
        <w:t xml:space="preserve">Document the utilization of hospital resources (e.g., </w:t>
      </w:r>
      <w:r w:rsidRPr="00B749BA">
        <w:rPr>
          <w:i/>
          <w:color w:val="FF0000"/>
          <w:szCs w:val="24"/>
        </w:rPr>
        <w:t>orders</w:t>
      </w:r>
      <w:r>
        <w:rPr>
          <w:i/>
          <w:color w:val="FF0000"/>
          <w:szCs w:val="24"/>
        </w:rPr>
        <w:t xml:space="preserve">, test results, </w:t>
      </w:r>
      <w:r w:rsidRPr="00B749BA">
        <w:rPr>
          <w:i/>
          <w:color w:val="FF0000"/>
          <w:szCs w:val="24"/>
        </w:rPr>
        <w:t>unit protocols and nursing record</w:t>
      </w:r>
      <w:r>
        <w:rPr>
          <w:i/>
          <w:color w:val="FF0000"/>
          <w:szCs w:val="24"/>
        </w:rPr>
        <w:t>s)</w:t>
      </w:r>
      <w:r w:rsidRPr="00B749BA">
        <w:rPr>
          <w:i/>
          <w:color w:val="FF0000"/>
          <w:szCs w:val="24"/>
        </w:rPr>
        <w:t xml:space="preserve">.  </w:t>
      </w:r>
    </w:p>
    <w:p w14:paraId="2F0AC3F0" w14:textId="77777777" w:rsidR="00AF5935" w:rsidRPr="008A60D7" w:rsidRDefault="00AF5935" w:rsidP="00AF5935">
      <w:pPr>
        <w:pStyle w:val="NoSpacing"/>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512"/>
        <w:gridCol w:w="1170"/>
      </w:tblGrid>
      <w:tr w:rsidR="00AF5935" w:rsidRPr="008A60D7" w14:paraId="68F4CFE6" w14:textId="77777777" w:rsidTr="00913C29">
        <w:tc>
          <w:tcPr>
            <w:tcW w:w="2610" w:type="dxa"/>
            <w:shd w:val="clear" w:color="auto" w:fill="auto"/>
          </w:tcPr>
          <w:p w14:paraId="4B0B8C01" w14:textId="77777777" w:rsidR="00AF5935" w:rsidRPr="008A60D7" w:rsidRDefault="00AF5935" w:rsidP="00913C29">
            <w:pPr>
              <w:pStyle w:val="NoSpacing"/>
              <w:jc w:val="center"/>
              <w:rPr>
                <w:b/>
              </w:rPr>
            </w:pPr>
            <w:r w:rsidRPr="008A60D7">
              <w:rPr>
                <w:b/>
              </w:rPr>
              <w:t>Document Source &amp; Date</w:t>
            </w:r>
          </w:p>
        </w:tc>
        <w:tc>
          <w:tcPr>
            <w:tcW w:w="5670" w:type="dxa"/>
            <w:shd w:val="clear" w:color="auto" w:fill="auto"/>
          </w:tcPr>
          <w:p w14:paraId="1506D696" w14:textId="77777777" w:rsidR="00AF5935" w:rsidRPr="008A60D7" w:rsidRDefault="00AF5935" w:rsidP="00913C29">
            <w:pPr>
              <w:pStyle w:val="NoSpacing"/>
              <w:jc w:val="center"/>
              <w:rPr>
                <w:b/>
              </w:rPr>
            </w:pPr>
            <w:r w:rsidRPr="008A60D7">
              <w:rPr>
                <w:b/>
              </w:rPr>
              <w:t>Pertinent Information</w:t>
            </w:r>
          </w:p>
        </w:tc>
        <w:tc>
          <w:tcPr>
            <w:tcW w:w="1188" w:type="dxa"/>
            <w:shd w:val="clear" w:color="auto" w:fill="auto"/>
          </w:tcPr>
          <w:p w14:paraId="4262F243" w14:textId="5123A7B0" w:rsidR="00AF5935" w:rsidRPr="008A60D7" w:rsidRDefault="00AF5935" w:rsidP="00913C29">
            <w:pPr>
              <w:pStyle w:val="NoSpacing"/>
              <w:jc w:val="center"/>
              <w:rPr>
                <w:b/>
              </w:rPr>
            </w:pPr>
            <w:r w:rsidRPr="008A60D7">
              <w:rPr>
                <w:b/>
              </w:rPr>
              <w:t>Page</w:t>
            </w:r>
          </w:p>
        </w:tc>
      </w:tr>
      <w:tr w:rsidR="00AF5935" w:rsidRPr="003726E5" w14:paraId="14587DBE" w14:textId="77777777" w:rsidTr="00913C29">
        <w:tc>
          <w:tcPr>
            <w:tcW w:w="2610" w:type="dxa"/>
            <w:shd w:val="clear" w:color="auto" w:fill="auto"/>
          </w:tcPr>
          <w:p w14:paraId="12D8A969" w14:textId="77777777" w:rsidR="00AF5935" w:rsidRPr="003726E5" w:rsidRDefault="00AF5935" w:rsidP="00913C29">
            <w:pPr>
              <w:pStyle w:val="NoSpacing"/>
            </w:pPr>
          </w:p>
        </w:tc>
        <w:tc>
          <w:tcPr>
            <w:tcW w:w="5670" w:type="dxa"/>
            <w:shd w:val="clear" w:color="auto" w:fill="auto"/>
          </w:tcPr>
          <w:p w14:paraId="1CE7E87B" w14:textId="77777777" w:rsidR="00AF5935" w:rsidRPr="00976703" w:rsidRDefault="00AF5935" w:rsidP="00913C29">
            <w:pPr>
              <w:pStyle w:val="NoSpacing"/>
            </w:pPr>
          </w:p>
        </w:tc>
        <w:tc>
          <w:tcPr>
            <w:tcW w:w="1188" w:type="dxa"/>
            <w:shd w:val="clear" w:color="auto" w:fill="auto"/>
          </w:tcPr>
          <w:p w14:paraId="07CE672A" w14:textId="77777777" w:rsidR="00AF5935" w:rsidRPr="003726E5" w:rsidRDefault="00AF5935" w:rsidP="00913C29">
            <w:pPr>
              <w:pStyle w:val="NoSpacing"/>
              <w:jc w:val="center"/>
            </w:pPr>
          </w:p>
        </w:tc>
      </w:tr>
      <w:tr w:rsidR="00AF5935" w:rsidRPr="003726E5" w14:paraId="6E4DE4B4" w14:textId="77777777" w:rsidTr="00913C29">
        <w:tc>
          <w:tcPr>
            <w:tcW w:w="2610" w:type="dxa"/>
            <w:shd w:val="clear" w:color="auto" w:fill="auto"/>
          </w:tcPr>
          <w:p w14:paraId="21DCA071" w14:textId="77777777" w:rsidR="00AF5935" w:rsidRPr="003726E5" w:rsidRDefault="00AF5935" w:rsidP="00913C29">
            <w:pPr>
              <w:pStyle w:val="NoSpacing"/>
            </w:pPr>
          </w:p>
        </w:tc>
        <w:tc>
          <w:tcPr>
            <w:tcW w:w="5670" w:type="dxa"/>
            <w:shd w:val="clear" w:color="auto" w:fill="auto"/>
          </w:tcPr>
          <w:p w14:paraId="2803CE4B" w14:textId="77777777" w:rsidR="00AF5935" w:rsidRPr="00976703" w:rsidRDefault="00AF5935" w:rsidP="00913C29">
            <w:pPr>
              <w:pStyle w:val="NoSpacing"/>
            </w:pPr>
          </w:p>
        </w:tc>
        <w:tc>
          <w:tcPr>
            <w:tcW w:w="1188" w:type="dxa"/>
            <w:shd w:val="clear" w:color="auto" w:fill="auto"/>
          </w:tcPr>
          <w:p w14:paraId="350DD269" w14:textId="77777777" w:rsidR="00AF5935" w:rsidRPr="003726E5" w:rsidRDefault="00AF5935" w:rsidP="00913C29">
            <w:pPr>
              <w:pStyle w:val="NoSpacing"/>
              <w:jc w:val="center"/>
            </w:pPr>
          </w:p>
        </w:tc>
      </w:tr>
      <w:tr w:rsidR="00AF5935" w:rsidRPr="003726E5" w14:paraId="3061F992" w14:textId="77777777" w:rsidTr="00913C29">
        <w:tc>
          <w:tcPr>
            <w:tcW w:w="2610" w:type="dxa"/>
            <w:shd w:val="clear" w:color="auto" w:fill="auto"/>
          </w:tcPr>
          <w:p w14:paraId="3D4BB012" w14:textId="77777777" w:rsidR="00AF5935" w:rsidRPr="003726E5" w:rsidRDefault="00AF5935" w:rsidP="00913C29">
            <w:pPr>
              <w:pStyle w:val="NoSpacing"/>
            </w:pPr>
          </w:p>
        </w:tc>
        <w:tc>
          <w:tcPr>
            <w:tcW w:w="5670" w:type="dxa"/>
            <w:shd w:val="clear" w:color="auto" w:fill="auto"/>
          </w:tcPr>
          <w:p w14:paraId="1BAE84EC" w14:textId="77777777" w:rsidR="00AF5935" w:rsidRPr="00976703" w:rsidRDefault="00AF5935" w:rsidP="00913C29">
            <w:pPr>
              <w:pStyle w:val="NoSpacing"/>
            </w:pPr>
          </w:p>
        </w:tc>
        <w:tc>
          <w:tcPr>
            <w:tcW w:w="1188" w:type="dxa"/>
            <w:shd w:val="clear" w:color="auto" w:fill="auto"/>
          </w:tcPr>
          <w:p w14:paraId="112E182C" w14:textId="77777777" w:rsidR="00AF5935" w:rsidRPr="003726E5" w:rsidRDefault="00AF5935" w:rsidP="00913C29">
            <w:pPr>
              <w:pStyle w:val="NoSpacing"/>
              <w:jc w:val="center"/>
            </w:pPr>
          </w:p>
        </w:tc>
      </w:tr>
      <w:tr w:rsidR="00AF5935" w:rsidRPr="003726E5" w14:paraId="5E8E8F53" w14:textId="77777777" w:rsidTr="00913C29">
        <w:tc>
          <w:tcPr>
            <w:tcW w:w="2610" w:type="dxa"/>
            <w:shd w:val="clear" w:color="auto" w:fill="auto"/>
          </w:tcPr>
          <w:p w14:paraId="39B0289C" w14:textId="77777777" w:rsidR="00AF5935" w:rsidRPr="003726E5" w:rsidRDefault="00AF5935" w:rsidP="00913C29">
            <w:pPr>
              <w:pStyle w:val="NoSpacing"/>
            </w:pPr>
          </w:p>
        </w:tc>
        <w:tc>
          <w:tcPr>
            <w:tcW w:w="5670" w:type="dxa"/>
            <w:shd w:val="clear" w:color="auto" w:fill="auto"/>
          </w:tcPr>
          <w:p w14:paraId="3612C8F5" w14:textId="77777777" w:rsidR="00AF5935" w:rsidRPr="00976703" w:rsidRDefault="00AF5935" w:rsidP="00913C29">
            <w:pPr>
              <w:pStyle w:val="NoSpacing"/>
            </w:pPr>
          </w:p>
        </w:tc>
        <w:tc>
          <w:tcPr>
            <w:tcW w:w="1188" w:type="dxa"/>
            <w:shd w:val="clear" w:color="auto" w:fill="auto"/>
          </w:tcPr>
          <w:p w14:paraId="09B42225" w14:textId="77777777" w:rsidR="00AF5935" w:rsidRPr="003726E5" w:rsidRDefault="00AF5935" w:rsidP="00913C29">
            <w:pPr>
              <w:pStyle w:val="NoSpacing"/>
              <w:jc w:val="center"/>
            </w:pPr>
          </w:p>
        </w:tc>
      </w:tr>
      <w:tr w:rsidR="00AF5935" w:rsidRPr="003726E5" w14:paraId="7CBA0452" w14:textId="77777777" w:rsidTr="00913C29">
        <w:tc>
          <w:tcPr>
            <w:tcW w:w="2610" w:type="dxa"/>
            <w:shd w:val="clear" w:color="auto" w:fill="auto"/>
          </w:tcPr>
          <w:p w14:paraId="1E1D5199" w14:textId="77777777" w:rsidR="00AF5935" w:rsidRPr="005D10F4" w:rsidRDefault="00AF5935" w:rsidP="00913C29">
            <w:pPr>
              <w:pStyle w:val="NoSpacing"/>
            </w:pPr>
          </w:p>
        </w:tc>
        <w:tc>
          <w:tcPr>
            <w:tcW w:w="5670" w:type="dxa"/>
            <w:shd w:val="clear" w:color="auto" w:fill="auto"/>
          </w:tcPr>
          <w:p w14:paraId="65D02A61" w14:textId="77777777" w:rsidR="00AF5935" w:rsidRPr="00241A5A" w:rsidRDefault="00AF5935" w:rsidP="00913C29">
            <w:pPr>
              <w:pStyle w:val="NoSpacing"/>
              <w:rPr>
                <w:iCs/>
              </w:rPr>
            </w:pPr>
          </w:p>
        </w:tc>
        <w:tc>
          <w:tcPr>
            <w:tcW w:w="1188" w:type="dxa"/>
            <w:shd w:val="clear" w:color="auto" w:fill="auto"/>
          </w:tcPr>
          <w:p w14:paraId="7DF6B63C" w14:textId="77777777" w:rsidR="00AF5935" w:rsidRPr="003726E5" w:rsidRDefault="00AF5935" w:rsidP="00913C29">
            <w:pPr>
              <w:pStyle w:val="NoSpacing"/>
              <w:jc w:val="center"/>
            </w:pPr>
          </w:p>
        </w:tc>
      </w:tr>
      <w:tr w:rsidR="00AF5935" w:rsidRPr="003726E5" w14:paraId="18920C57" w14:textId="77777777" w:rsidTr="00913C29">
        <w:tc>
          <w:tcPr>
            <w:tcW w:w="2610" w:type="dxa"/>
            <w:shd w:val="clear" w:color="auto" w:fill="auto"/>
          </w:tcPr>
          <w:p w14:paraId="0744A69E" w14:textId="77777777" w:rsidR="00AF5935" w:rsidRPr="003726E5" w:rsidRDefault="00AF5935" w:rsidP="00913C29">
            <w:pPr>
              <w:pStyle w:val="NoSpacing"/>
            </w:pPr>
          </w:p>
        </w:tc>
        <w:tc>
          <w:tcPr>
            <w:tcW w:w="5670" w:type="dxa"/>
            <w:shd w:val="clear" w:color="auto" w:fill="auto"/>
          </w:tcPr>
          <w:p w14:paraId="6FB8B35E" w14:textId="77777777" w:rsidR="00AF5935" w:rsidRPr="00976703" w:rsidRDefault="00AF5935" w:rsidP="00913C29">
            <w:pPr>
              <w:pStyle w:val="NoSpacing"/>
            </w:pPr>
          </w:p>
        </w:tc>
        <w:tc>
          <w:tcPr>
            <w:tcW w:w="1188" w:type="dxa"/>
            <w:shd w:val="clear" w:color="auto" w:fill="auto"/>
          </w:tcPr>
          <w:p w14:paraId="1BC6114A" w14:textId="77777777" w:rsidR="00AF5935" w:rsidRPr="00241A5A" w:rsidRDefault="00AF5935" w:rsidP="00913C29">
            <w:pPr>
              <w:pStyle w:val="NoSpacing"/>
              <w:jc w:val="center"/>
              <w:rPr>
                <w:iCs/>
              </w:rPr>
            </w:pPr>
          </w:p>
        </w:tc>
      </w:tr>
    </w:tbl>
    <w:p w14:paraId="35F031E2" w14:textId="77777777" w:rsidR="00AF5935" w:rsidRDefault="00AF5935" w:rsidP="00AF5935">
      <w:pPr>
        <w:pStyle w:val="NoSpacing"/>
      </w:pPr>
    </w:p>
    <w:p w14:paraId="5AB6817E" w14:textId="77777777" w:rsidR="00AF5935" w:rsidRPr="00B42820" w:rsidRDefault="00AF5935" w:rsidP="00AF5935">
      <w:pPr>
        <w:spacing w:after="0" w:line="240" w:lineRule="auto"/>
        <w:jc w:val="center"/>
        <w:rPr>
          <w:rFonts w:ascii="Times New Roman" w:eastAsia="Calibri" w:hAnsi="Times New Roman" w:cs="Times New Roman"/>
          <w:b/>
          <w:sz w:val="24"/>
          <w:szCs w:val="24"/>
        </w:rPr>
      </w:pPr>
      <w:r w:rsidRPr="00B42820">
        <w:rPr>
          <w:rFonts w:ascii="Times New Roman" w:eastAsia="Calibri" w:hAnsi="Times New Roman" w:cs="Times New Roman"/>
          <w:b/>
          <w:sz w:val="24"/>
          <w:szCs w:val="24"/>
        </w:rPr>
        <w:t>Diagnostic Test Results</w:t>
      </w:r>
    </w:p>
    <w:p w14:paraId="2692A92C" w14:textId="77777777" w:rsidR="00AF5935" w:rsidRPr="00B42820" w:rsidRDefault="00AF5935" w:rsidP="00AF5935">
      <w:pPr>
        <w:spacing w:after="0" w:line="240" w:lineRule="auto"/>
        <w:jc w:val="center"/>
        <w:rPr>
          <w:rFonts w:ascii="Times New Roman" w:eastAsia="Calibri" w:hAnsi="Times New Roman" w:cs="Times New Roman"/>
          <w:sz w:val="24"/>
          <w:szCs w:val="24"/>
        </w:rPr>
      </w:pPr>
    </w:p>
    <w:tbl>
      <w:tblPr>
        <w:tblStyle w:val="TableGrid1"/>
        <w:tblW w:w="0" w:type="auto"/>
        <w:tblInd w:w="108" w:type="dxa"/>
        <w:tblLook w:val="04A0" w:firstRow="1" w:lastRow="0" w:firstColumn="1" w:lastColumn="0" w:noHBand="0" w:noVBand="1"/>
      </w:tblPr>
      <w:tblGrid>
        <w:gridCol w:w="2587"/>
        <w:gridCol w:w="1440"/>
        <w:gridCol w:w="1980"/>
        <w:gridCol w:w="2070"/>
        <w:gridCol w:w="1165"/>
      </w:tblGrid>
      <w:tr w:rsidR="00AF5935" w:rsidRPr="00B42820" w14:paraId="20E4CB9B" w14:textId="77777777" w:rsidTr="00913C29">
        <w:tc>
          <w:tcPr>
            <w:tcW w:w="2587" w:type="dxa"/>
          </w:tcPr>
          <w:p w14:paraId="6370D420" w14:textId="77777777" w:rsidR="00AF5935" w:rsidRPr="00B42820" w:rsidRDefault="00AF5935" w:rsidP="00913C29">
            <w:pPr>
              <w:spacing w:after="0" w:line="240" w:lineRule="auto"/>
              <w:jc w:val="center"/>
              <w:rPr>
                <w:rFonts w:ascii="Times New Roman" w:eastAsia="Calibri" w:hAnsi="Times New Roman" w:cs="Times New Roman"/>
                <w:sz w:val="24"/>
                <w:szCs w:val="24"/>
              </w:rPr>
            </w:pPr>
            <w:r w:rsidRPr="00B42820">
              <w:rPr>
                <w:rFonts w:ascii="Times New Roman" w:eastAsia="Calibri" w:hAnsi="Times New Roman" w:cs="Times New Roman"/>
                <w:b/>
                <w:sz w:val="24"/>
                <w:szCs w:val="24"/>
              </w:rPr>
              <w:t>Test</w:t>
            </w:r>
          </w:p>
        </w:tc>
        <w:tc>
          <w:tcPr>
            <w:tcW w:w="1440" w:type="dxa"/>
          </w:tcPr>
          <w:p w14:paraId="7A86B2FA" w14:textId="77777777" w:rsidR="00AF5935" w:rsidRPr="00B42820" w:rsidRDefault="00AF5935" w:rsidP="00913C29">
            <w:pPr>
              <w:spacing w:after="0" w:line="240" w:lineRule="auto"/>
              <w:jc w:val="center"/>
              <w:rPr>
                <w:rFonts w:ascii="Times New Roman" w:eastAsia="Calibri" w:hAnsi="Times New Roman" w:cs="Times New Roman"/>
                <w:b/>
                <w:sz w:val="24"/>
                <w:szCs w:val="24"/>
              </w:rPr>
            </w:pPr>
            <w:r w:rsidRPr="00B42820">
              <w:rPr>
                <w:rFonts w:ascii="Times New Roman" w:eastAsia="Calibri" w:hAnsi="Times New Roman" w:cs="Times New Roman"/>
                <w:b/>
                <w:sz w:val="24"/>
                <w:szCs w:val="24"/>
              </w:rPr>
              <w:t>Date</w:t>
            </w:r>
          </w:p>
        </w:tc>
        <w:tc>
          <w:tcPr>
            <w:tcW w:w="1980" w:type="dxa"/>
          </w:tcPr>
          <w:p w14:paraId="1C8D1B7B" w14:textId="77777777" w:rsidR="00AF5935" w:rsidRPr="00B42820" w:rsidRDefault="00AF5935" w:rsidP="00913C29">
            <w:pPr>
              <w:spacing w:after="0" w:line="240" w:lineRule="auto"/>
              <w:jc w:val="center"/>
              <w:rPr>
                <w:rFonts w:ascii="Times New Roman" w:eastAsia="Calibri" w:hAnsi="Times New Roman" w:cs="Times New Roman"/>
                <w:b/>
                <w:sz w:val="24"/>
                <w:szCs w:val="24"/>
              </w:rPr>
            </w:pPr>
            <w:r w:rsidRPr="00B42820">
              <w:rPr>
                <w:rFonts w:ascii="Times New Roman" w:eastAsia="Calibri" w:hAnsi="Times New Roman" w:cs="Times New Roman"/>
                <w:b/>
                <w:sz w:val="24"/>
                <w:szCs w:val="24"/>
              </w:rPr>
              <w:t>Result</w:t>
            </w:r>
          </w:p>
        </w:tc>
        <w:tc>
          <w:tcPr>
            <w:tcW w:w="2070" w:type="dxa"/>
          </w:tcPr>
          <w:p w14:paraId="6C63FE7F" w14:textId="77777777" w:rsidR="00AF5935" w:rsidRPr="00B42820" w:rsidRDefault="00AF5935" w:rsidP="00913C29">
            <w:pPr>
              <w:spacing w:after="0" w:line="240" w:lineRule="auto"/>
              <w:jc w:val="center"/>
              <w:rPr>
                <w:rFonts w:ascii="Times New Roman" w:eastAsia="Calibri" w:hAnsi="Times New Roman" w:cs="Times New Roman"/>
                <w:b/>
                <w:sz w:val="24"/>
                <w:szCs w:val="24"/>
              </w:rPr>
            </w:pPr>
            <w:r w:rsidRPr="00B42820">
              <w:rPr>
                <w:rFonts w:ascii="Times New Roman" w:eastAsia="Calibri" w:hAnsi="Times New Roman" w:cs="Times New Roman"/>
                <w:b/>
                <w:sz w:val="24"/>
                <w:szCs w:val="24"/>
              </w:rPr>
              <w:t>Reference Range</w:t>
            </w:r>
          </w:p>
        </w:tc>
        <w:tc>
          <w:tcPr>
            <w:tcW w:w="1165" w:type="dxa"/>
          </w:tcPr>
          <w:p w14:paraId="53272C8C" w14:textId="77777777" w:rsidR="00AF5935" w:rsidRPr="00B42820" w:rsidRDefault="00AF5935" w:rsidP="00913C29">
            <w:pPr>
              <w:spacing w:after="0" w:line="240" w:lineRule="auto"/>
              <w:jc w:val="center"/>
              <w:rPr>
                <w:rFonts w:ascii="Times New Roman" w:eastAsia="Calibri" w:hAnsi="Times New Roman" w:cs="Times New Roman"/>
                <w:sz w:val="24"/>
                <w:szCs w:val="24"/>
              </w:rPr>
            </w:pPr>
            <w:r w:rsidRPr="00B42820">
              <w:rPr>
                <w:rFonts w:ascii="Times New Roman" w:eastAsia="Calibri" w:hAnsi="Times New Roman" w:cs="Times New Roman"/>
                <w:b/>
                <w:sz w:val="24"/>
                <w:szCs w:val="24"/>
              </w:rPr>
              <w:t>Page</w:t>
            </w:r>
          </w:p>
        </w:tc>
      </w:tr>
      <w:tr w:rsidR="00AF5935" w:rsidRPr="00B42820" w14:paraId="2CF09B70" w14:textId="77777777" w:rsidTr="00913C29">
        <w:tc>
          <w:tcPr>
            <w:tcW w:w="2587" w:type="dxa"/>
          </w:tcPr>
          <w:p w14:paraId="0463BD7F"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440" w:type="dxa"/>
          </w:tcPr>
          <w:p w14:paraId="01696FDB"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980" w:type="dxa"/>
          </w:tcPr>
          <w:p w14:paraId="44F4D94F" w14:textId="77777777" w:rsidR="00AF5935" w:rsidRPr="00B42820" w:rsidRDefault="00AF5935" w:rsidP="00913C29">
            <w:pPr>
              <w:spacing w:after="0" w:line="240" w:lineRule="auto"/>
              <w:rPr>
                <w:rFonts w:ascii="Times New Roman" w:eastAsia="Calibri" w:hAnsi="Times New Roman" w:cs="Times New Roman"/>
                <w:b/>
                <w:sz w:val="24"/>
                <w:szCs w:val="24"/>
              </w:rPr>
            </w:pPr>
          </w:p>
        </w:tc>
        <w:tc>
          <w:tcPr>
            <w:tcW w:w="2070" w:type="dxa"/>
          </w:tcPr>
          <w:p w14:paraId="004180C0"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165" w:type="dxa"/>
          </w:tcPr>
          <w:p w14:paraId="6BF4E48B" w14:textId="77777777" w:rsidR="00AF5935" w:rsidRPr="00B42820" w:rsidRDefault="00AF5935" w:rsidP="00913C29">
            <w:pPr>
              <w:spacing w:after="0" w:line="240" w:lineRule="auto"/>
              <w:jc w:val="center"/>
              <w:rPr>
                <w:rFonts w:ascii="Times New Roman" w:eastAsia="Calibri" w:hAnsi="Times New Roman" w:cs="Times New Roman"/>
                <w:sz w:val="24"/>
                <w:szCs w:val="24"/>
              </w:rPr>
            </w:pPr>
          </w:p>
        </w:tc>
      </w:tr>
      <w:tr w:rsidR="00AF5935" w:rsidRPr="00B42820" w14:paraId="0303AE52" w14:textId="77777777" w:rsidTr="00913C29">
        <w:tc>
          <w:tcPr>
            <w:tcW w:w="2587" w:type="dxa"/>
          </w:tcPr>
          <w:p w14:paraId="2587F1FA"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440" w:type="dxa"/>
          </w:tcPr>
          <w:p w14:paraId="6B5AD8F0"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980" w:type="dxa"/>
          </w:tcPr>
          <w:p w14:paraId="17415637" w14:textId="77777777" w:rsidR="00AF5935" w:rsidRPr="00B42820" w:rsidRDefault="00AF5935" w:rsidP="00913C29">
            <w:pPr>
              <w:spacing w:after="0" w:line="240" w:lineRule="auto"/>
              <w:rPr>
                <w:rFonts w:ascii="Times New Roman" w:eastAsia="Calibri" w:hAnsi="Times New Roman" w:cs="Times New Roman"/>
                <w:b/>
                <w:sz w:val="24"/>
                <w:szCs w:val="24"/>
              </w:rPr>
            </w:pPr>
          </w:p>
        </w:tc>
        <w:tc>
          <w:tcPr>
            <w:tcW w:w="2070" w:type="dxa"/>
          </w:tcPr>
          <w:p w14:paraId="40954C87"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165" w:type="dxa"/>
          </w:tcPr>
          <w:p w14:paraId="3AA5BAFF" w14:textId="77777777" w:rsidR="00AF5935" w:rsidRPr="00B42820" w:rsidRDefault="00AF5935" w:rsidP="00913C29">
            <w:pPr>
              <w:spacing w:after="0" w:line="240" w:lineRule="auto"/>
              <w:jc w:val="center"/>
              <w:rPr>
                <w:rFonts w:ascii="Times New Roman" w:eastAsia="Calibri" w:hAnsi="Times New Roman" w:cs="Times New Roman"/>
                <w:sz w:val="24"/>
                <w:szCs w:val="24"/>
              </w:rPr>
            </w:pPr>
          </w:p>
        </w:tc>
      </w:tr>
      <w:tr w:rsidR="00AF5935" w:rsidRPr="00B42820" w14:paraId="77E5CCCF" w14:textId="77777777" w:rsidTr="00913C29">
        <w:tc>
          <w:tcPr>
            <w:tcW w:w="2587" w:type="dxa"/>
          </w:tcPr>
          <w:p w14:paraId="3F431F8F"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440" w:type="dxa"/>
          </w:tcPr>
          <w:p w14:paraId="0D1E8B65"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980" w:type="dxa"/>
          </w:tcPr>
          <w:p w14:paraId="67D64F05" w14:textId="77777777" w:rsidR="00AF5935" w:rsidRPr="00B42820" w:rsidRDefault="00AF5935" w:rsidP="00913C29">
            <w:pPr>
              <w:spacing w:after="0" w:line="240" w:lineRule="auto"/>
              <w:rPr>
                <w:rFonts w:ascii="Times New Roman" w:eastAsia="Calibri" w:hAnsi="Times New Roman" w:cs="Times New Roman"/>
                <w:b/>
                <w:sz w:val="24"/>
                <w:szCs w:val="24"/>
              </w:rPr>
            </w:pPr>
          </w:p>
        </w:tc>
        <w:tc>
          <w:tcPr>
            <w:tcW w:w="2070" w:type="dxa"/>
          </w:tcPr>
          <w:p w14:paraId="23A26EE6"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165" w:type="dxa"/>
          </w:tcPr>
          <w:p w14:paraId="29853F9A" w14:textId="77777777" w:rsidR="00AF5935" w:rsidRPr="00B42820" w:rsidRDefault="00AF5935" w:rsidP="00913C29">
            <w:pPr>
              <w:spacing w:after="0" w:line="240" w:lineRule="auto"/>
              <w:jc w:val="center"/>
              <w:rPr>
                <w:rFonts w:ascii="Times New Roman" w:eastAsia="Calibri" w:hAnsi="Times New Roman" w:cs="Times New Roman"/>
                <w:sz w:val="24"/>
                <w:szCs w:val="24"/>
              </w:rPr>
            </w:pPr>
          </w:p>
        </w:tc>
      </w:tr>
      <w:tr w:rsidR="00AF5935" w:rsidRPr="00B42820" w14:paraId="4E1BE757" w14:textId="77777777" w:rsidTr="00913C29">
        <w:tc>
          <w:tcPr>
            <w:tcW w:w="2587" w:type="dxa"/>
          </w:tcPr>
          <w:p w14:paraId="45EF278C"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440" w:type="dxa"/>
          </w:tcPr>
          <w:p w14:paraId="02CCF390"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980" w:type="dxa"/>
          </w:tcPr>
          <w:p w14:paraId="0BA89CA7" w14:textId="77777777" w:rsidR="00AF5935" w:rsidRPr="00B42820" w:rsidRDefault="00AF5935" w:rsidP="00913C29">
            <w:pPr>
              <w:spacing w:after="0" w:line="240" w:lineRule="auto"/>
              <w:rPr>
                <w:rFonts w:ascii="Times New Roman" w:eastAsia="Calibri" w:hAnsi="Times New Roman" w:cs="Times New Roman"/>
                <w:b/>
                <w:sz w:val="24"/>
                <w:szCs w:val="24"/>
              </w:rPr>
            </w:pPr>
          </w:p>
        </w:tc>
        <w:tc>
          <w:tcPr>
            <w:tcW w:w="2070" w:type="dxa"/>
          </w:tcPr>
          <w:p w14:paraId="5E8E7521" w14:textId="77777777" w:rsidR="00AF5935" w:rsidRPr="00B42820" w:rsidRDefault="00AF5935" w:rsidP="00913C29">
            <w:pPr>
              <w:spacing w:after="0" w:line="240" w:lineRule="auto"/>
              <w:rPr>
                <w:rFonts w:ascii="Times New Roman" w:eastAsia="Calibri" w:hAnsi="Times New Roman" w:cs="Times New Roman"/>
                <w:sz w:val="24"/>
                <w:szCs w:val="24"/>
              </w:rPr>
            </w:pPr>
          </w:p>
        </w:tc>
        <w:tc>
          <w:tcPr>
            <w:tcW w:w="1165" w:type="dxa"/>
          </w:tcPr>
          <w:p w14:paraId="1A30683F" w14:textId="77777777" w:rsidR="00AF5935" w:rsidRPr="00B42820" w:rsidRDefault="00AF5935" w:rsidP="00913C29">
            <w:pPr>
              <w:spacing w:after="0" w:line="240" w:lineRule="auto"/>
              <w:jc w:val="center"/>
              <w:rPr>
                <w:rFonts w:ascii="Times New Roman" w:eastAsia="Calibri" w:hAnsi="Times New Roman" w:cs="Times New Roman"/>
                <w:sz w:val="24"/>
                <w:szCs w:val="24"/>
              </w:rPr>
            </w:pPr>
          </w:p>
        </w:tc>
      </w:tr>
    </w:tbl>
    <w:p w14:paraId="1F86E620" w14:textId="77777777" w:rsidR="00AF5935" w:rsidRDefault="00AF5935" w:rsidP="00AF5935">
      <w:pPr>
        <w:pStyle w:val="NoSpacing"/>
      </w:pPr>
    </w:p>
    <w:bookmarkEnd w:id="1"/>
    <w:p w14:paraId="15371439" w14:textId="77777777" w:rsidR="00AF5935" w:rsidRDefault="00AF5935" w:rsidP="00AF5935">
      <w:pPr>
        <w:pStyle w:val="NoSpacing"/>
        <w:jc w:val="center"/>
        <w:rPr>
          <w:b/>
        </w:rPr>
      </w:pPr>
      <w:r>
        <w:rPr>
          <w:b/>
        </w:rPr>
        <w:t xml:space="preserve">Coding </w:t>
      </w:r>
      <w:r w:rsidRPr="0099404B">
        <w:rPr>
          <w:b/>
        </w:rPr>
        <w:t>Justification for Appeal</w:t>
      </w:r>
    </w:p>
    <w:p w14:paraId="7D0F83D4" w14:textId="77777777" w:rsidR="00AF5935" w:rsidRPr="008A60D7" w:rsidRDefault="00AF5935" w:rsidP="00AF5935">
      <w:pPr>
        <w:pStyle w:val="NoSpacing"/>
        <w:jc w:val="center"/>
        <w:rPr>
          <w:b/>
          <w:u w:val="single"/>
        </w:rPr>
      </w:pPr>
    </w:p>
    <w:p w14:paraId="574153E6" w14:textId="77777777" w:rsidR="00AF5935" w:rsidRDefault="00AF5935" w:rsidP="00AF5935">
      <w:pPr>
        <w:autoSpaceDE w:val="0"/>
        <w:autoSpaceDN w:val="0"/>
        <w:adjustRightInd w:val="0"/>
        <w:spacing w:after="0" w:line="240" w:lineRule="auto"/>
        <w:rPr>
          <w:rFonts w:ascii="Times New Roman" w:eastAsia="Calibri" w:hAnsi="Times New Roman" w:cs="Times New Roman"/>
          <w:sz w:val="24"/>
          <w:szCs w:val="24"/>
        </w:rPr>
      </w:pPr>
      <w:r w:rsidRPr="00605115">
        <w:rPr>
          <w:rFonts w:ascii="Times New Roman" w:eastAsia="Calibri" w:hAnsi="Times New Roman" w:cs="Times New Roman"/>
          <w:sz w:val="24"/>
          <w:szCs w:val="24"/>
        </w:rPr>
        <w:t xml:space="preserve">The arguments presented below justify the inclusion of </w:t>
      </w:r>
      <w:r w:rsidRPr="00BC0821">
        <w:rPr>
          <w:rFonts w:ascii="Times New Roman" w:hAnsi="Times New Roman" w:cs="Times New Roman"/>
          <w:i/>
          <w:color w:val="FF0000"/>
          <w:sz w:val="24"/>
          <w:szCs w:val="24"/>
        </w:rPr>
        <w:t>specify diagnosis or diagnoses in question with ICD-10 number and description</w:t>
      </w:r>
      <w:r>
        <w:rPr>
          <w:rFonts w:ascii="Times New Roman" w:eastAsia="Calibri" w:hAnsi="Times New Roman" w:cs="Times New Roman"/>
          <w:sz w:val="24"/>
          <w:szCs w:val="24"/>
        </w:rPr>
        <w:t xml:space="preserve"> </w:t>
      </w:r>
      <w:r w:rsidRPr="00605115">
        <w:rPr>
          <w:rFonts w:ascii="Times New Roman" w:eastAsia="Calibri" w:hAnsi="Times New Roman" w:cs="Times New Roman"/>
          <w:sz w:val="24"/>
          <w:szCs w:val="24"/>
        </w:rPr>
        <w:t>as a valid diagnosis for the following reasons:</w:t>
      </w:r>
    </w:p>
    <w:p w14:paraId="003C9060" w14:textId="77777777" w:rsidR="00AF5935" w:rsidRPr="002F3330" w:rsidRDefault="00AF5935" w:rsidP="00AF5935">
      <w:pPr>
        <w:pStyle w:val="ListParagraph"/>
        <w:autoSpaceDE w:val="0"/>
        <w:autoSpaceDN w:val="0"/>
        <w:adjustRightInd w:val="0"/>
        <w:spacing w:after="0"/>
        <w:rPr>
          <w:szCs w:val="24"/>
        </w:rPr>
      </w:pPr>
    </w:p>
    <w:p w14:paraId="2E7B62FB" w14:textId="77777777" w:rsidR="00AF5935" w:rsidRPr="002F3330" w:rsidRDefault="00AF5935" w:rsidP="00AF5935">
      <w:pPr>
        <w:pStyle w:val="ListParagraph"/>
        <w:numPr>
          <w:ilvl w:val="0"/>
          <w:numId w:val="8"/>
        </w:numPr>
        <w:autoSpaceDE w:val="0"/>
        <w:autoSpaceDN w:val="0"/>
        <w:adjustRightInd w:val="0"/>
        <w:spacing w:after="0"/>
        <w:rPr>
          <w:szCs w:val="24"/>
        </w:rPr>
      </w:pPr>
      <w:r w:rsidRPr="002F3330">
        <w:t xml:space="preserve">The reviewer alleges </w:t>
      </w:r>
      <w:r w:rsidRPr="002F3330">
        <w:rPr>
          <w:i/>
          <w:color w:val="FF0000"/>
          <w:szCs w:val="24"/>
        </w:rPr>
        <w:t>insert the rationale for the diagnosis code denial.</w:t>
      </w:r>
      <w:r w:rsidRPr="002F3330">
        <w:rPr>
          <w:color w:val="FF0000"/>
          <w:szCs w:val="24"/>
        </w:rPr>
        <w:t xml:space="preserve"> </w:t>
      </w:r>
      <w:r w:rsidRPr="002F3330">
        <w:rPr>
          <w:szCs w:val="24"/>
        </w:rPr>
        <w:t xml:space="preserve">The provided rationale is incorrect because </w:t>
      </w:r>
      <w:r w:rsidRPr="002F3330">
        <w:rPr>
          <w:i/>
          <w:color w:val="FF0000"/>
          <w:szCs w:val="24"/>
        </w:rPr>
        <w:t>insert basis for disputing the denial – specifically, why is the reviewer incorrect?</w:t>
      </w:r>
    </w:p>
    <w:p w14:paraId="4E910230" w14:textId="77777777" w:rsidR="00AF5935" w:rsidRPr="002F3330" w:rsidRDefault="00AF5935" w:rsidP="00AF5935">
      <w:pPr>
        <w:pStyle w:val="ListParagraph"/>
        <w:autoSpaceDE w:val="0"/>
        <w:autoSpaceDN w:val="0"/>
        <w:adjustRightInd w:val="0"/>
        <w:spacing w:after="0"/>
        <w:rPr>
          <w:szCs w:val="24"/>
        </w:rPr>
      </w:pPr>
    </w:p>
    <w:p w14:paraId="2C0DCCD9" w14:textId="77777777" w:rsidR="00AF5935" w:rsidRPr="002F3330" w:rsidRDefault="00AF5935" w:rsidP="00AF5935">
      <w:pPr>
        <w:pStyle w:val="ListParagraph"/>
        <w:numPr>
          <w:ilvl w:val="0"/>
          <w:numId w:val="8"/>
        </w:numPr>
        <w:autoSpaceDE w:val="0"/>
        <w:autoSpaceDN w:val="0"/>
        <w:adjustRightInd w:val="0"/>
        <w:spacing w:after="0"/>
        <w:rPr>
          <w:szCs w:val="24"/>
        </w:rPr>
      </w:pPr>
      <w:r w:rsidRPr="00980994">
        <w:t>The patient’s diagnosis was documented in the medical record by the providers responsible for the care</w:t>
      </w:r>
      <w:r>
        <w:t xml:space="preserve"> of the patient. </w:t>
      </w:r>
      <w:r w:rsidRPr="00980994">
        <w:t>The clinical assessment, treatment plan, and care rendered w</w:t>
      </w:r>
      <w:r>
        <w:t>ere</w:t>
      </w:r>
      <w:r w:rsidRPr="00980994">
        <w:t xml:space="preserve"> commensurate </w:t>
      </w:r>
      <w:r>
        <w:t xml:space="preserve">with </w:t>
      </w:r>
      <w:r w:rsidRPr="00980994">
        <w:t xml:space="preserve">the findings. </w:t>
      </w:r>
    </w:p>
    <w:p w14:paraId="28785968" w14:textId="77777777" w:rsidR="00AF5935" w:rsidRPr="002F3330" w:rsidRDefault="00AF5935" w:rsidP="00AF5935">
      <w:pPr>
        <w:pStyle w:val="ListParagraph"/>
        <w:autoSpaceDE w:val="0"/>
        <w:autoSpaceDN w:val="0"/>
        <w:adjustRightInd w:val="0"/>
        <w:spacing w:after="0"/>
        <w:rPr>
          <w:szCs w:val="24"/>
        </w:rPr>
      </w:pPr>
    </w:p>
    <w:p w14:paraId="2C0AA394" w14:textId="77777777" w:rsidR="00AF5935" w:rsidRPr="002F3330" w:rsidRDefault="00AF5935" w:rsidP="00AF5935">
      <w:pPr>
        <w:pStyle w:val="ListParagraph"/>
        <w:numPr>
          <w:ilvl w:val="0"/>
          <w:numId w:val="8"/>
        </w:numPr>
        <w:autoSpaceDE w:val="0"/>
        <w:autoSpaceDN w:val="0"/>
        <w:adjustRightInd w:val="0"/>
        <w:spacing w:after="0"/>
        <w:rPr>
          <w:szCs w:val="24"/>
        </w:rPr>
      </w:pPr>
      <w:r w:rsidRPr="00087A36">
        <w:rPr>
          <w:szCs w:val="24"/>
        </w:rPr>
        <w:t xml:space="preserve">Inclusion of </w:t>
      </w:r>
      <w:r w:rsidRPr="00087A36">
        <w:rPr>
          <w:i/>
          <w:color w:val="FF0000"/>
          <w:szCs w:val="24"/>
        </w:rPr>
        <w:t>Specify</w:t>
      </w:r>
      <w:r w:rsidRPr="00087A36">
        <w:rPr>
          <w:szCs w:val="24"/>
        </w:rPr>
        <w:t xml:space="preserve"> </w:t>
      </w:r>
      <w:r w:rsidRPr="00087A36">
        <w:rPr>
          <w:i/>
          <w:color w:val="FF0000"/>
        </w:rPr>
        <w:t>Diagnosis</w:t>
      </w:r>
      <w:r w:rsidRPr="00087A36">
        <w:t xml:space="preserve"> </w:t>
      </w:r>
      <w:r w:rsidRPr="00087A36">
        <w:rPr>
          <w:szCs w:val="24"/>
        </w:rPr>
        <w:t>on the billed claim is in accordance with the Uniform Hospi</w:t>
      </w:r>
      <w:r>
        <w:rPr>
          <w:szCs w:val="24"/>
        </w:rPr>
        <w:t xml:space="preserve">tal Discharge Data Set (UHDDS) </w:t>
      </w:r>
      <w:r w:rsidRPr="00087A36">
        <w:rPr>
          <w:szCs w:val="24"/>
        </w:rPr>
        <w:t xml:space="preserve">and ICD-10-CM Official Coding Guidelines, </w:t>
      </w:r>
      <w:r w:rsidRPr="00087A36">
        <w:rPr>
          <w:bCs/>
          <w:szCs w:val="24"/>
        </w:rPr>
        <w:t>and AHA Coding Clinic Guidelines</w:t>
      </w:r>
      <w:r w:rsidRPr="00087A36">
        <w:rPr>
          <w:szCs w:val="24"/>
        </w:rPr>
        <w:t xml:space="preserve"> </w:t>
      </w:r>
      <w:r w:rsidRPr="00087A36">
        <w:rPr>
          <w:bCs/>
          <w:szCs w:val="24"/>
        </w:rPr>
        <w:t>(see citations below).</w:t>
      </w:r>
      <w:r w:rsidRPr="00087A36">
        <w:t xml:space="preserve"> There is no disclosure indicating the </w:t>
      </w:r>
      <w:proofErr w:type="spellStart"/>
      <w:r w:rsidRPr="00087A36">
        <w:t>payer’s</w:t>
      </w:r>
      <w:proofErr w:type="spellEnd"/>
      <w:r w:rsidRPr="00087A36">
        <w:t xml:space="preserve"> contract provisions vary from Uniform Hospital Discharge Data Set (UHDDS) and ICD-10-CM Official Coding Guidelines</w:t>
      </w:r>
      <w:r w:rsidRPr="00B01946">
        <w:t>.</w:t>
      </w:r>
    </w:p>
    <w:p w14:paraId="2F323278" w14:textId="77777777" w:rsidR="00AF5935" w:rsidRPr="002F3330" w:rsidRDefault="00AF5935" w:rsidP="00AF5935">
      <w:pPr>
        <w:pStyle w:val="ListParagraph"/>
        <w:autoSpaceDE w:val="0"/>
        <w:autoSpaceDN w:val="0"/>
        <w:adjustRightInd w:val="0"/>
        <w:spacing w:after="0"/>
        <w:rPr>
          <w:szCs w:val="24"/>
        </w:rPr>
      </w:pPr>
    </w:p>
    <w:p w14:paraId="33C6E6EF" w14:textId="77777777" w:rsidR="00AF5935" w:rsidRPr="00EA092D" w:rsidRDefault="00AF5935" w:rsidP="00AF5935">
      <w:pPr>
        <w:pStyle w:val="ListParagraph"/>
        <w:numPr>
          <w:ilvl w:val="0"/>
          <w:numId w:val="8"/>
        </w:numPr>
        <w:autoSpaceDE w:val="0"/>
        <w:autoSpaceDN w:val="0"/>
        <w:adjustRightInd w:val="0"/>
        <w:spacing w:after="0"/>
        <w:rPr>
          <w:szCs w:val="24"/>
        </w:rPr>
      </w:pPr>
      <w:r w:rsidRPr="00EA092D">
        <w:rPr>
          <w:color w:val="FF0000"/>
        </w:rPr>
        <w:t>Further, there is no disclosure regarding consultation with a coder or clinician who has the expertise to understand and apply these guidelines. Accordingly, disclosure of this information is requested.</w:t>
      </w:r>
    </w:p>
    <w:p w14:paraId="70962148" w14:textId="77777777" w:rsidR="00AF5935" w:rsidRPr="0099404B" w:rsidRDefault="00AF5935" w:rsidP="00AF5935">
      <w:pPr>
        <w:spacing w:after="0" w:line="240" w:lineRule="auto"/>
        <w:jc w:val="center"/>
        <w:rPr>
          <w:rFonts w:ascii="Times New Roman" w:eastAsia="Calibri" w:hAnsi="Times New Roman" w:cs="Times New Roman"/>
          <w:b/>
          <w:sz w:val="24"/>
        </w:rPr>
      </w:pPr>
      <w:r w:rsidRPr="0099404B">
        <w:rPr>
          <w:rFonts w:ascii="Times New Roman" w:eastAsia="Calibri" w:hAnsi="Times New Roman" w:cs="Times New Roman"/>
          <w:b/>
          <w:sz w:val="24"/>
        </w:rPr>
        <w:t>Coding References</w:t>
      </w:r>
    </w:p>
    <w:p w14:paraId="4A415DF9" w14:textId="5AE460B2" w:rsidR="006E6A32" w:rsidRDefault="006E6A32" w:rsidP="00D01AB2">
      <w:pPr>
        <w:spacing w:after="0" w:line="240" w:lineRule="auto"/>
        <w:rPr>
          <w:rFonts w:ascii="Times New Roman" w:hAnsi="Times New Roman" w:cs="Times New Roman"/>
          <w:i/>
          <w:color w:val="FF0000"/>
          <w:sz w:val="24"/>
          <w:szCs w:val="24"/>
        </w:rPr>
      </w:pPr>
      <w:r w:rsidRPr="007C23D2">
        <w:rPr>
          <w:rFonts w:ascii="Times New Roman" w:hAnsi="Times New Roman" w:cs="Times New Roman"/>
          <w:i/>
          <w:color w:val="FF0000"/>
          <w:sz w:val="24"/>
          <w:szCs w:val="24"/>
        </w:rPr>
        <w:t xml:space="preserve">Only leave secondary diagnosis guidelines </w:t>
      </w:r>
      <w:r w:rsidR="007C23D2">
        <w:rPr>
          <w:rFonts w:ascii="Times New Roman" w:hAnsi="Times New Roman" w:cs="Times New Roman"/>
          <w:i/>
          <w:color w:val="FF0000"/>
          <w:sz w:val="24"/>
          <w:szCs w:val="24"/>
        </w:rPr>
        <w:t>in the appeal</w:t>
      </w:r>
      <w:r w:rsidR="00A87633">
        <w:rPr>
          <w:rFonts w:ascii="Times New Roman" w:hAnsi="Times New Roman" w:cs="Times New Roman"/>
          <w:i/>
          <w:color w:val="FF0000"/>
          <w:sz w:val="24"/>
          <w:szCs w:val="24"/>
        </w:rPr>
        <w:t xml:space="preserve"> if</w:t>
      </w:r>
      <w:r w:rsidR="007C23D2">
        <w:rPr>
          <w:rFonts w:ascii="Times New Roman" w:hAnsi="Times New Roman" w:cs="Times New Roman"/>
          <w:i/>
          <w:color w:val="FF0000"/>
          <w:sz w:val="24"/>
          <w:szCs w:val="24"/>
        </w:rPr>
        <w:t xml:space="preserve"> </w:t>
      </w:r>
      <w:r w:rsidR="004D4E4B">
        <w:rPr>
          <w:rFonts w:ascii="Times New Roman" w:hAnsi="Times New Roman" w:cs="Times New Roman"/>
          <w:i/>
          <w:color w:val="FF0000"/>
          <w:sz w:val="24"/>
          <w:szCs w:val="24"/>
        </w:rPr>
        <w:t>documentation in the medical record</w:t>
      </w:r>
      <w:r w:rsidRPr="007C23D2">
        <w:rPr>
          <w:rFonts w:ascii="Times New Roman" w:hAnsi="Times New Roman" w:cs="Times New Roman"/>
          <w:i/>
          <w:color w:val="FF0000"/>
          <w:sz w:val="24"/>
          <w:szCs w:val="24"/>
        </w:rPr>
        <w:t xml:space="preserve"> show</w:t>
      </w:r>
      <w:r w:rsidR="004D4E4B">
        <w:rPr>
          <w:rFonts w:ascii="Times New Roman" w:hAnsi="Times New Roman" w:cs="Times New Roman"/>
          <w:i/>
          <w:color w:val="FF0000"/>
          <w:sz w:val="24"/>
          <w:szCs w:val="24"/>
        </w:rPr>
        <w:t>s</w:t>
      </w:r>
      <w:r w:rsidRPr="007C23D2">
        <w:rPr>
          <w:rFonts w:ascii="Times New Roman" w:hAnsi="Times New Roman" w:cs="Times New Roman"/>
          <w:i/>
          <w:color w:val="FF0000"/>
          <w:sz w:val="24"/>
          <w:szCs w:val="24"/>
        </w:rPr>
        <w:t xml:space="preserve"> where the diagnosis of obesity meets traditional secondary diagnosis guidelines</w:t>
      </w:r>
      <w:r w:rsidR="007C23D2">
        <w:rPr>
          <w:rFonts w:ascii="Times New Roman" w:hAnsi="Times New Roman" w:cs="Times New Roman"/>
          <w:i/>
          <w:color w:val="FF0000"/>
          <w:sz w:val="24"/>
          <w:szCs w:val="24"/>
        </w:rPr>
        <w:t>,</w:t>
      </w:r>
      <w:r w:rsidR="007C23D2" w:rsidRPr="00A87633">
        <w:rPr>
          <w:rFonts w:ascii="Times New Roman" w:hAnsi="Times New Roman" w:cs="Times New Roman"/>
          <w:b/>
          <w:bCs/>
          <w:i/>
          <w:color w:val="FF0000"/>
          <w:sz w:val="24"/>
          <w:szCs w:val="24"/>
        </w:rPr>
        <w:t xml:space="preserve"> in addition </w:t>
      </w:r>
      <w:r w:rsidR="007C23D2">
        <w:rPr>
          <w:rFonts w:ascii="Times New Roman" w:hAnsi="Times New Roman" w:cs="Times New Roman"/>
          <w:i/>
          <w:color w:val="FF0000"/>
          <w:sz w:val="24"/>
          <w:szCs w:val="24"/>
        </w:rPr>
        <w:t>to the guidance that obesity is always clinically significant.</w:t>
      </w:r>
      <w:r w:rsidRPr="007C23D2">
        <w:rPr>
          <w:rFonts w:ascii="Times New Roman" w:hAnsi="Times New Roman" w:cs="Times New Roman"/>
          <w:i/>
          <w:color w:val="FF0000"/>
          <w:sz w:val="24"/>
          <w:szCs w:val="24"/>
        </w:rPr>
        <w:t xml:space="preserve"> </w:t>
      </w:r>
      <w:r w:rsidR="007C23D2" w:rsidRPr="007C23D2">
        <w:rPr>
          <w:rFonts w:ascii="Times New Roman" w:hAnsi="Times New Roman" w:cs="Times New Roman"/>
          <w:i/>
          <w:color w:val="FF0000"/>
          <w:sz w:val="24"/>
          <w:szCs w:val="24"/>
        </w:rPr>
        <w:t>Often</w:t>
      </w:r>
      <w:r w:rsidR="004D4E4B">
        <w:rPr>
          <w:rFonts w:ascii="Times New Roman" w:hAnsi="Times New Roman" w:cs="Times New Roman"/>
          <w:i/>
          <w:color w:val="FF0000"/>
          <w:sz w:val="24"/>
          <w:szCs w:val="24"/>
        </w:rPr>
        <w:t xml:space="preserve">, </w:t>
      </w:r>
      <w:r w:rsidR="007C23D2" w:rsidRPr="007C23D2">
        <w:rPr>
          <w:rFonts w:ascii="Times New Roman" w:hAnsi="Times New Roman" w:cs="Times New Roman"/>
          <w:i/>
          <w:color w:val="FF0000"/>
          <w:sz w:val="24"/>
          <w:szCs w:val="24"/>
        </w:rPr>
        <w:t xml:space="preserve">documentation of </w:t>
      </w:r>
      <w:r w:rsidR="007C23D2">
        <w:rPr>
          <w:rFonts w:ascii="Times New Roman" w:hAnsi="Times New Roman" w:cs="Times New Roman"/>
          <w:i/>
          <w:color w:val="FF0000"/>
          <w:sz w:val="24"/>
          <w:szCs w:val="24"/>
        </w:rPr>
        <w:t>increased</w:t>
      </w:r>
      <w:r w:rsidR="007C23D2" w:rsidRPr="007C23D2">
        <w:rPr>
          <w:rFonts w:ascii="Times New Roman" w:hAnsi="Times New Roman" w:cs="Times New Roman"/>
          <w:i/>
          <w:color w:val="FF0000"/>
          <w:sz w:val="24"/>
          <w:szCs w:val="24"/>
        </w:rPr>
        <w:t xml:space="preserve"> nursing care can be found, as obese patients often require more assistance (</w:t>
      </w:r>
      <w:r w:rsidR="00A87633" w:rsidRPr="007C23D2">
        <w:rPr>
          <w:rFonts w:ascii="Times New Roman" w:hAnsi="Times New Roman" w:cs="Times New Roman"/>
          <w:i/>
          <w:color w:val="FF0000"/>
          <w:sz w:val="24"/>
          <w:szCs w:val="24"/>
        </w:rPr>
        <w:t>i.e.,</w:t>
      </w:r>
      <w:r w:rsidR="007C23D2" w:rsidRPr="007C23D2">
        <w:rPr>
          <w:rFonts w:ascii="Times New Roman" w:hAnsi="Times New Roman" w:cs="Times New Roman"/>
          <w:i/>
          <w:color w:val="FF0000"/>
          <w:sz w:val="24"/>
          <w:szCs w:val="24"/>
        </w:rPr>
        <w:t xml:space="preserve"> 2 person assist to stand</w:t>
      </w:r>
      <w:r w:rsidR="007C23D2">
        <w:rPr>
          <w:rFonts w:ascii="Times New Roman" w:hAnsi="Times New Roman" w:cs="Times New Roman"/>
          <w:i/>
          <w:color w:val="FF0000"/>
          <w:sz w:val="24"/>
          <w:szCs w:val="24"/>
        </w:rPr>
        <w:t>/position patient</w:t>
      </w:r>
      <w:r w:rsidR="007C23D2" w:rsidRPr="007C23D2">
        <w:rPr>
          <w:rFonts w:ascii="Times New Roman" w:hAnsi="Times New Roman" w:cs="Times New Roman"/>
          <w:i/>
          <w:color w:val="FF0000"/>
          <w:sz w:val="24"/>
          <w:szCs w:val="24"/>
        </w:rPr>
        <w:t>) or positioning for surgery (see nursing documentation related to a surgical episode to see if such documentation exists)</w:t>
      </w:r>
      <w:r w:rsidR="007C23D2">
        <w:rPr>
          <w:rFonts w:ascii="Times New Roman" w:hAnsi="Times New Roman" w:cs="Times New Roman"/>
          <w:i/>
          <w:color w:val="FF0000"/>
          <w:sz w:val="24"/>
          <w:szCs w:val="24"/>
        </w:rPr>
        <w:t>.</w:t>
      </w:r>
    </w:p>
    <w:p w14:paraId="07B6925A" w14:textId="77777777" w:rsidR="00163BC5" w:rsidRPr="00163BC5" w:rsidRDefault="00163BC5" w:rsidP="00D01AB2">
      <w:pPr>
        <w:spacing w:after="0" w:line="240" w:lineRule="auto"/>
        <w:rPr>
          <w:rFonts w:ascii="Times New Roman" w:eastAsia="Calibri" w:hAnsi="Times New Roman" w:cs="Times New Roman"/>
          <w:bCs/>
          <w:iCs/>
          <w:sz w:val="24"/>
          <w:szCs w:val="24"/>
          <w:u w:val="single"/>
        </w:rPr>
      </w:pPr>
    </w:p>
    <w:p w14:paraId="64C447B9" w14:textId="77777777" w:rsidR="00AF5935" w:rsidRDefault="00AF5935" w:rsidP="00AF5935">
      <w:pPr>
        <w:spacing w:after="0" w:line="240" w:lineRule="auto"/>
        <w:rPr>
          <w:rFonts w:ascii="Times New Roman" w:eastAsia="Calibri" w:hAnsi="Times New Roman" w:cs="Times New Roman"/>
          <w:b/>
          <w:sz w:val="24"/>
        </w:rPr>
      </w:pPr>
      <w:r w:rsidRPr="0099404B">
        <w:rPr>
          <w:rFonts w:ascii="Times New Roman" w:eastAsia="Calibri" w:hAnsi="Times New Roman" w:cs="Times New Roman"/>
          <w:b/>
          <w:sz w:val="24"/>
        </w:rPr>
        <w:t xml:space="preserve">ICD-10-CM Official Guidelines for Coding and Reporting </w:t>
      </w:r>
    </w:p>
    <w:p w14:paraId="7E782047" w14:textId="77777777" w:rsidR="00AF5935" w:rsidRDefault="00AF5935" w:rsidP="00AF5935">
      <w:pPr>
        <w:spacing w:after="0" w:line="240" w:lineRule="auto"/>
        <w:rPr>
          <w:rFonts w:ascii="Times New Roman" w:eastAsia="Calibri" w:hAnsi="Times New Roman" w:cs="Times New Roman"/>
          <w:b/>
          <w:sz w:val="24"/>
        </w:rPr>
      </w:pPr>
    </w:p>
    <w:p w14:paraId="7572781E" w14:textId="59006038" w:rsidR="00AF5935" w:rsidRPr="00552964" w:rsidRDefault="00AF5935" w:rsidP="00AF5935">
      <w:pPr>
        <w:spacing w:after="0" w:line="240" w:lineRule="auto"/>
        <w:rPr>
          <w:rFonts w:ascii="Times New Roman" w:eastAsia="Calibri" w:hAnsi="Times New Roman" w:cs="Times New Roman"/>
          <w:b/>
          <w:sz w:val="24"/>
        </w:rPr>
      </w:pPr>
      <w:r w:rsidRPr="00552964">
        <w:rPr>
          <w:rFonts w:ascii="Times New Roman" w:eastAsia="Calibri" w:hAnsi="Times New Roman" w:cs="Times New Roman"/>
          <w:b/>
          <w:sz w:val="24"/>
        </w:rPr>
        <w:t>Section III. Reporting Additional Diagnoses</w:t>
      </w:r>
    </w:p>
    <w:p w14:paraId="4376FE4D" w14:textId="77777777" w:rsidR="00AF5935" w:rsidRPr="00552964" w:rsidRDefault="00AF5935" w:rsidP="00AF5935">
      <w:pPr>
        <w:spacing w:after="0" w:line="240" w:lineRule="auto"/>
        <w:rPr>
          <w:rFonts w:ascii="Times New Roman" w:eastAsia="Calibri" w:hAnsi="Times New Roman" w:cs="Times New Roman"/>
          <w:sz w:val="24"/>
        </w:rPr>
      </w:pPr>
      <w:r w:rsidRPr="00552964">
        <w:rPr>
          <w:rFonts w:ascii="Times New Roman" w:eastAsia="Calibri" w:hAnsi="Times New Roman" w:cs="Times New Roman"/>
          <w:color w:val="000000"/>
          <w:sz w:val="24"/>
        </w:rPr>
        <w:t xml:space="preserve">GENERAL RULES FOR OTHER (ADDITIONAL) DIAGNOSES  </w:t>
      </w:r>
    </w:p>
    <w:p w14:paraId="47069CED" w14:textId="77777777" w:rsidR="00AF5935" w:rsidRPr="00552964" w:rsidRDefault="00AF5935" w:rsidP="00AF5935">
      <w:pPr>
        <w:spacing w:before="100" w:beforeAutospacing="1" w:after="100" w:afterAutospacing="1" w:line="240" w:lineRule="auto"/>
        <w:rPr>
          <w:rFonts w:ascii="Times New Roman" w:eastAsia="Times New Roman" w:hAnsi="Times New Roman" w:cs="Times New Roman"/>
          <w:color w:val="000000"/>
          <w:sz w:val="24"/>
          <w:szCs w:val="24"/>
        </w:rPr>
      </w:pPr>
      <w:r w:rsidRPr="00552964">
        <w:rPr>
          <w:rFonts w:ascii="Times New Roman" w:eastAsia="Times New Roman" w:hAnsi="Times New Roman" w:cs="Times New Roman"/>
          <w:color w:val="000000"/>
          <w:sz w:val="24"/>
          <w:szCs w:val="24"/>
        </w:rPr>
        <w:t>The UHDDS item #11-b defines Other Diagnoses as "all conditions that coexist at the time of admission, that develop subsequently, or that affect the treatment received and/or the length of stay.</w:t>
      </w:r>
    </w:p>
    <w:p w14:paraId="63BEF87A" w14:textId="77777777" w:rsidR="00AF5935" w:rsidRPr="00E63909" w:rsidRDefault="00AF5935" w:rsidP="00AF5935">
      <w:pPr>
        <w:spacing w:after="0" w:line="240" w:lineRule="auto"/>
        <w:rPr>
          <w:rFonts w:ascii="Times New Roman" w:eastAsia="Calibri" w:hAnsi="Times New Roman" w:cs="Times New Roman"/>
          <w:sz w:val="24"/>
        </w:rPr>
      </w:pPr>
      <w:r w:rsidRPr="00552964">
        <w:rPr>
          <w:rFonts w:ascii="Times New Roman" w:eastAsia="Calibri" w:hAnsi="Times New Roman" w:cs="Times New Roman"/>
          <w:sz w:val="24"/>
        </w:rPr>
        <w:t>For reporting purposes, the definition for "other diagnoses" is interpreted as additional conditions that affect patient care in terms of requiring</w:t>
      </w:r>
      <w:r w:rsidRPr="00E63909">
        <w:rPr>
          <w:rFonts w:ascii="Times New Roman" w:eastAsia="Calibri" w:hAnsi="Times New Roman" w:cs="Times New Roman"/>
          <w:sz w:val="24"/>
        </w:rPr>
        <w:t xml:space="preserve">: </w:t>
      </w:r>
    </w:p>
    <w:p w14:paraId="304F4BFE" w14:textId="77777777" w:rsidR="00AF5935" w:rsidRPr="00E63909" w:rsidRDefault="00AF5935" w:rsidP="00AF593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clinical evaluation;</w:t>
      </w:r>
    </w:p>
    <w:p w14:paraId="6D2329C9" w14:textId="77777777" w:rsidR="00AF5935" w:rsidRPr="00E63909" w:rsidRDefault="00AF5935" w:rsidP="00AF593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or therapeutic treatment;</w:t>
      </w:r>
    </w:p>
    <w:p w14:paraId="7906EE0A" w14:textId="77777777" w:rsidR="00AF5935" w:rsidRPr="00E63909" w:rsidRDefault="00AF5935" w:rsidP="00AF593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 xml:space="preserve">or diagnostic procedures; </w:t>
      </w:r>
    </w:p>
    <w:p w14:paraId="19E6F6BD" w14:textId="77777777" w:rsidR="00AF5935" w:rsidRPr="00E63909" w:rsidRDefault="00AF5935" w:rsidP="00AF593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lastRenderedPageBreak/>
        <w:t xml:space="preserve">or extended length of hospital stay; </w:t>
      </w:r>
    </w:p>
    <w:p w14:paraId="4C9462F0" w14:textId="77777777" w:rsidR="00AF5935" w:rsidRDefault="00AF5935" w:rsidP="00AF593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 xml:space="preserve">or increased nursing care and/or monitoring. </w:t>
      </w:r>
    </w:p>
    <w:p w14:paraId="73A46674" w14:textId="77777777" w:rsidR="00AF5935" w:rsidRPr="00123C7F" w:rsidRDefault="00AF5935" w:rsidP="00AF5935">
      <w:pPr>
        <w:spacing w:after="0" w:afterAutospacing="1" w:line="240" w:lineRule="auto"/>
        <w:rPr>
          <w:rFonts w:ascii="Times New Roman" w:eastAsia="Calibri" w:hAnsi="Times New Roman" w:cs="Times New Roman"/>
          <w:b/>
          <w:bCs/>
          <w:sz w:val="24"/>
          <w:u w:val="single"/>
        </w:rPr>
      </w:pPr>
      <w:r w:rsidRPr="00123C7F">
        <w:rPr>
          <w:rFonts w:ascii="Times New Roman" w:eastAsia="Calibri" w:hAnsi="Times New Roman" w:cs="Times New Roman"/>
          <w:b/>
          <w:bCs/>
          <w:sz w:val="24"/>
          <w:u w:val="single"/>
        </w:rPr>
        <w:t>(Please note that only ONE of the above criteria needs to be met in order to make the diagnosis reportable (“</w:t>
      </w:r>
      <w:proofErr w:type="spellStart"/>
      <w:r w:rsidRPr="00123C7F">
        <w:rPr>
          <w:rFonts w:ascii="Times New Roman" w:eastAsia="Calibri" w:hAnsi="Times New Roman" w:cs="Times New Roman"/>
          <w:b/>
          <w:bCs/>
          <w:sz w:val="24"/>
          <w:u w:val="single"/>
        </w:rPr>
        <w:t>codeable</w:t>
      </w:r>
      <w:proofErr w:type="spellEnd"/>
      <w:r w:rsidRPr="00123C7F">
        <w:rPr>
          <w:rFonts w:ascii="Times New Roman" w:eastAsia="Calibri" w:hAnsi="Times New Roman" w:cs="Times New Roman"/>
          <w:b/>
          <w:bCs/>
          <w:sz w:val="24"/>
          <w:u w:val="single"/>
        </w:rPr>
        <w:t>”).)</w:t>
      </w:r>
    </w:p>
    <w:p w14:paraId="04FB651C" w14:textId="77777777" w:rsidR="00AF5935" w:rsidRPr="002F3330" w:rsidRDefault="00AF5935" w:rsidP="00AF5935">
      <w:pPr>
        <w:spacing w:after="0" w:afterAutospacing="1" w:line="240" w:lineRule="auto"/>
        <w:rPr>
          <w:rFonts w:ascii="Times New Roman" w:eastAsia="Calibri" w:hAnsi="Times New Roman" w:cs="Times New Roman"/>
          <w:b/>
          <w:bCs/>
          <w:sz w:val="24"/>
        </w:rPr>
      </w:pPr>
      <w:r w:rsidRPr="002F3330">
        <w:rPr>
          <w:rFonts w:ascii="Times New Roman" w:eastAsia="Calibri" w:hAnsi="Times New Roman" w:cs="Times New Roman"/>
          <w:b/>
          <w:bCs/>
          <w:sz w:val="24"/>
        </w:rPr>
        <w:t>Section I. Conventions, general coding guidelines and chapter specific guidelines</w:t>
      </w:r>
    </w:p>
    <w:p w14:paraId="3B62851D" w14:textId="77777777" w:rsidR="00AF5935" w:rsidRPr="009819F1" w:rsidRDefault="00AF5935" w:rsidP="00AF5935">
      <w:pPr>
        <w:spacing w:after="0" w:afterAutospacing="1" w:line="240" w:lineRule="auto"/>
        <w:rPr>
          <w:rFonts w:ascii="Times New Roman" w:eastAsia="Times New Roman" w:hAnsi="Times New Roman" w:cs="Times New Roman"/>
          <w:b/>
          <w:bCs/>
          <w:sz w:val="24"/>
          <w:szCs w:val="24"/>
        </w:rPr>
      </w:pPr>
      <w:r w:rsidRPr="002F3330">
        <w:rPr>
          <w:rFonts w:ascii="Times New Roman" w:eastAsia="Calibri" w:hAnsi="Times New Roman" w:cs="Times New Roman"/>
          <w:b/>
          <w:bCs/>
          <w:sz w:val="24"/>
        </w:rPr>
        <w:t xml:space="preserve">B. General Coding </w:t>
      </w:r>
      <w:r>
        <w:rPr>
          <w:rFonts w:ascii="Times New Roman" w:eastAsia="Calibri" w:hAnsi="Times New Roman" w:cs="Times New Roman"/>
          <w:b/>
          <w:bCs/>
          <w:sz w:val="24"/>
        </w:rPr>
        <w:t>G</w:t>
      </w:r>
      <w:r w:rsidRPr="002F3330">
        <w:rPr>
          <w:rFonts w:ascii="Times New Roman" w:eastAsia="Calibri" w:hAnsi="Times New Roman" w:cs="Times New Roman"/>
          <w:b/>
          <w:bCs/>
          <w:sz w:val="24"/>
        </w:rPr>
        <w:t>uidelines</w:t>
      </w:r>
    </w:p>
    <w:p w14:paraId="6F2939E0" w14:textId="77777777" w:rsidR="00AF5935" w:rsidRPr="002F3330" w:rsidRDefault="00AF5935" w:rsidP="00AF5935">
      <w:pPr>
        <w:pStyle w:val="NoSpacing"/>
        <w:rPr>
          <w:b/>
          <w:bCs/>
        </w:rPr>
      </w:pPr>
      <w:r w:rsidRPr="002F3330">
        <w:rPr>
          <w:b/>
          <w:bCs/>
        </w:rPr>
        <w:t>14. Documentation by Clinicians Other than the Patient’s Provider</w:t>
      </w:r>
    </w:p>
    <w:p w14:paraId="1B9E2CA8" w14:textId="77777777" w:rsidR="00AF5935" w:rsidRDefault="00AF5935" w:rsidP="00AF5935">
      <w:pPr>
        <w:pStyle w:val="NoSpacing"/>
        <w:ind w:left="720"/>
      </w:pPr>
      <w:r w:rsidRPr="002F3330">
        <w:t>Code assignment is based on the documentation by the patient's provider (i.e., physician or other qualified healthcare practitioner legally accountable for establishing the patient's diagnosis). There are a few exceptions when code assignment may be based on medical record documentation from clinicians who are not the patient’s provider (i.e., physician or other qualified healthcare practitioner legally accountable for establishing the patient’s diagnosis). In this context, “clinicians” other than the patient’s provider refer to healthcare professionals permitted, based on regulatory or accreditation requirements or internal hospital policies, to document in a patient’s official medical record</w:t>
      </w:r>
      <w:r w:rsidRPr="00F70C8C">
        <w:t xml:space="preserve">. </w:t>
      </w:r>
    </w:p>
    <w:p w14:paraId="1E23DA43" w14:textId="77777777" w:rsidR="00AF5935" w:rsidRDefault="00AF5935" w:rsidP="00AF5935">
      <w:pPr>
        <w:pStyle w:val="NoSpacing"/>
        <w:ind w:left="120"/>
      </w:pPr>
    </w:p>
    <w:p w14:paraId="6078FCC7" w14:textId="77777777" w:rsidR="00AF5935" w:rsidRDefault="00AF5935" w:rsidP="00AF5935">
      <w:pPr>
        <w:pStyle w:val="NoSpacing"/>
        <w:ind w:left="720"/>
      </w:pPr>
      <w:r w:rsidRPr="00F70C8C">
        <w:t xml:space="preserve">These exceptions include codes for: </w:t>
      </w:r>
    </w:p>
    <w:p w14:paraId="1C86403A" w14:textId="77777777" w:rsidR="00AF5935" w:rsidRDefault="00AF5935" w:rsidP="00AF5935">
      <w:pPr>
        <w:pStyle w:val="NoSpacing"/>
        <w:numPr>
          <w:ilvl w:val="0"/>
          <w:numId w:val="6"/>
        </w:numPr>
        <w:ind w:left="1440"/>
      </w:pPr>
      <w:r>
        <w:t>Body Mass Index (BMI)</w:t>
      </w:r>
    </w:p>
    <w:p w14:paraId="655AB40E" w14:textId="77777777" w:rsidR="00AF5935" w:rsidRDefault="00AF5935" w:rsidP="00AF5935">
      <w:pPr>
        <w:pStyle w:val="NoSpacing"/>
        <w:numPr>
          <w:ilvl w:val="0"/>
          <w:numId w:val="6"/>
        </w:numPr>
        <w:ind w:left="1440"/>
      </w:pPr>
      <w:r>
        <w:t>Depth of non-pressure chronic ulcers</w:t>
      </w:r>
    </w:p>
    <w:p w14:paraId="63BA65C2" w14:textId="77777777" w:rsidR="00AF5935" w:rsidRDefault="00AF5935" w:rsidP="00AF5935">
      <w:pPr>
        <w:pStyle w:val="NoSpacing"/>
        <w:numPr>
          <w:ilvl w:val="0"/>
          <w:numId w:val="6"/>
        </w:numPr>
        <w:ind w:left="1440"/>
      </w:pPr>
      <w:r>
        <w:t>Pressure ulcer stage</w:t>
      </w:r>
    </w:p>
    <w:p w14:paraId="00DEBA2B" w14:textId="77777777" w:rsidR="00AF5935" w:rsidRDefault="00AF5935" w:rsidP="00AF5935">
      <w:pPr>
        <w:pStyle w:val="NoSpacing"/>
        <w:numPr>
          <w:ilvl w:val="0"/>
          <w:numId w:val="6"/>
        </w:numPr>
        <w:ind w:left="1440"/>
      </w:pPr>
      <w:r>
        <w:t>Coma scale</w:t>
      </w:r>
    </w:p>
    <w:p w14:paraId="7B98AC4E" w14:textId="77777777" w:rsidR="00AF5935" w:rsidRDefault="00AF5935" w:rsidP="00AF5935">
      <w:pPr>
        <w:pStyle w:val="NoSpacing"/>
        <w:numPr>
          <w:ilvl w:val="0"/>
          <w:numId w:val="6"/>
        </w:numPr>
        <w:ind w:left="1440"/>
      </w:pPr>
      <w:r>
        <w:t>NIH stroke scale (NIHSS)</w:t>
      </w:r>
    </w:p>
    <w:p w14:paraId="2B171E61" w14:textId="77777777" w:rsidR="00AF5935" w:rsidRDefault="00AF5935" w:rsidP="00AF5935">
      <w:pPr>
        <w:pStyle w:val="NoSpacing"/>
        <w:numPr>
          <w:ilvl w:val="0"/>
          <w:numId w:val="6"/>
        </w:numPr>
        <w:ind w:left="1440"/>
      </w:pPr>
      <w:r>
        <w:t>Social determinant of health (SDOH) classified to Chapter 21</w:t>
      </w:r>
    </w:p>
    <w:p w14:paraId="30F53FCA" w14:textId="77777777" w:rsidR="00AF5935" w:rsidRDefault="00AF5935" w:rsidP="00AF5935">
      <w:pPr>
        <w:pStyle w:val="NoSpacing"/>
        <w:numPr>
          <w:ilvl w:val="0"/>
          <w:numId w:val="6"/>
        </w:numPr>
        <w:ind w:left="1440"/>
      </w:pPr>
      <w:r>
        <w:t>Laterality</w:t>
      </w:r>
    </w:p>
    <w:p w14:paraId="4B9CE5F9" w14:textId="77777777" w:rsidR="00AF5935" w:rsidRDefault="00AF5935" w:rsidP="00AF5935">
      <w:pPr>
        <w:pStyle w:val="NoSpacing"/>
        <w:numPr>
          <w:ilvl w:val="0"/>
          <w:numId w:val="6"/>
        </w:numPr>
        <w:ind w:left="1440"/>
      </w:pPr>
      <w:r>
        <w:t>Blood alcohol level</w:t>
      </w:r>
    </w:p>
    <w:p w14:paraId="5D2F6722" w14:textId="77777777" w:rsidR="00AF5935" w:rsidRDefault="00AF5935" w:rsidP="00AF5935">
      <w:pPr>
        <w:pStyle w:val="NoSpacing"/>
        <w:numPr>
          <w:ilvl w:val="0"/>
          <w:numId w:val="6"/>
        </w:numPr>
        <w:ind w:left="1440"/>
      </w:pPr>
      <w:proofErr w:type="spellStart"/>
      <w:r>
        <w:t>Underimmunization</w:t>
      </w:r>
      <w:proofErr w:type="spellEnd"/>
      <w:r>
        <w:t xml:space="preserve"> status</w:t>
      </w:r>
    </w:p>
    <w:p w14:paraId="7E946FD8" w14:textId="77777777" w:rsidR="00AF5935" w:rsidRPr="00C97598" w:rsidRDefault="00AF5935" w:rsidP="00AF5935">
      <w:pPr>
        <w:pStyle w:val="NoSpacing"/>
      </w:pPr>
    </w:p>
    <w:p w14:paraId="1F93B246" w14:textId="77777777" w:rsidR="00AF5935" w:rsidRPr="00C97598" w:rsidRDefault="00AF5935" w:rsidP="00AF5935">
      <w:pPr>
        <w:pStyle w:val="NoSpacing"/>
        <w:ind w:left="720"/>
      </w:pPr>
      <w:r w:rsidRPr="00C97598">
        <w:t>This information is typically</w:t>
      </w:r>
      <w:r w:rsidRPr="00C97598">
        <w:rPr>
          <w:b/>
          <w:bCs/>
        </w:rPr>
        <w:t xml:space="preserve">, </w:t>
      </w:r>
      <w:r w:rsidRPr="00C97598">
        <w:t xml:space="preserve">or may be, documented by other clinicians involved in the care of the patient (e.g., a dietitian often documents the BMI, a nurse often documents the pressure ulcer stages, and an emergency medical technician often documents the coma scale). However, the associated diagnosis (such as overweight, obesity, acute stroke, pressure ulcer, or a condition classifiable to category F10, Alcohol related disorders) must be documented by the patient’s provider. If there is conflicting medical record documentation, either from the same clinician or different clinicians, the patient’s provider should be queried for clarification. </w:t>
      </w:r>
    </w:p>
    <w:p w14:paraId="002AE433" w14:textId="77777777" w:rsidR="00AF5935" w:rsidRDefault="00AF5935" w:rsidP="00AF5935">
      <w:pPr>
        <w:pStyle w:val="NoSpacing"/>
        <w:ind w:left="720"/>
      </w:pPr>
    </w:p>
    <w:p w14:paraId="088137EC" w14:textId="77777777" w:rsidR="00AF5935" w:rsidRDefault="00AF5935" w:rsidP="00AF5935">
      <w:pPr>
        <w:pStyle w:val="NoSpacing"/>
        <w:ind w:left="720"/>
      </w:pPr>
      <w:r w:rsidRPr="00C97598">
        <w:t xml:space="preserve">The BMI, coma scale, NIHSS, blood alcohol level codes, codes for social determinants of health and </w:t>
      </w:r>
      <w:proofErr w:type="spellStart"/>
      <w:r w:rsidRPr="00C97598">
        <w:t>underimmunization</w:t>
      </w:r>
      <w:proofErr w:type="spellEnd"/>
      <w:r w:rsidRPr="00C97598">
        <w:t xml:space="preserve"> status should only be reported as secondary diagnoses.</w:t>
      </w:r>
    </w:p>
    <w:p w14:paraId="17360FF1" w14:textId="77777777" w:rsidR="00AF5935" w:rsidRPr="00552964" w:rsidRDefault="00AF5935" w:rsidP="00AF5935">
      <w:pPr>
        <w:spacing w:after="0" w:line="240" w:lineRule="auto"/>
        <w:rPr>
          <w:rFonts w:ascii="Times New Roman" w:eastAsia="Calibri" w:hAnsi="Times New Roman" w:cs="Times New Roman"/>
          <w:sz w:val="24"/>
          <w:u w:val="single"/>
        </w:rPr>
      </w:pPr>
      <w:r w:rsidRPr="00552964">
        <w:rPr>
          <w:rFonts w:ascii="Times New Roman" w:eastAsia="Calibri" w:hAnsi="Times New Roman" w:cs="Times New Roman"/>
          <w:sz w:val="24"/>
          <w:u w:val="single"/>
        </w:rPr>
        <w:t>_____________________________________________________________________________</w:t>
      </w:r>
    </w:p>
    <w:p w14:paraId="60B25650" w14:textId="77777777" w:rsidR="00AF5935" w:rsidRDefault="00AF5935" w:rsidP="00AF5935">
      <w:pPr>
        <w:pStyle w:val="NoSpacing"/>
        <w:ind w:left="720"/>
      </w:pPr>
    </w:p>
    <w:p w14:paraId="7615CE40" w14:textId="604AFF79" w:rsidR="00D01AB2" w:rsidRPr="00AF5935" w:rsidRDefault="00D01AB2" w:rsidP="00AF5935">
      <w:pPr>
        <w:spacing w:after="0" w:line="240" w:lineRule="auto"/>
        <w:jc w:val="center"/>
        <w:rPr>
          <w:rFonts w:ascii="Times New Roman" w:eastAsia="Calibri" w:hAnsi="Times New Roman" w:cs="Times New Roman"/>
          <w:b/>
          <w:sz w:val="24"/>
        </w:rPr>
      </w:pPr>
      <w:r w:rsidRPr="00AF5935">
        <w:rPr>
          <w:rFonts w:ascii="Times New Roman" w:eastAsia="Calibri" w:hAnsi="Times New Roman" w:cs="Times New Roman"/>
          <w:b/>
          <w:sz w:val="24"/>
        </w:rPr>
        <w:lastRenderedPageBreak/>
        <w:t>Selected Coding Clinics</w:t>
      </w:r>
    </w:p>
    <w:p w14:paraId="64DA3E5B" w14:textId="77777777" w:rsidR="00A7215E" w:rsidRPr="00552964" w:rsidRDefault="00A7215E" w:rsidP="00A7215E">
      <w:pPr>
        <w:spacing w:after="0" w:line="240" w:lineRule="auto"/>
        <w:jc w:val="center"/>
        <w:rPr>
          <w:rFonts w:ascii="Times New Roman" w:eastAsia="Calibri" w:hAnsi="Times New Roman" w:cs="Times New Roman"/>
          <w:i/>
          <w:color w:val="FF0000"/>
          <w:sz w:val="24"/>
        </w:rPr>
      </w:pPr>
      <w:r w:rsidRPr="00552964">
        <w:rPr>
          <w:rFonts w:ascii="Times New Roman" w:eastAsia="Calibri" w:hAnsi="Times New Roman" w:cs="Times New Roman"/>
          <w:i/>
          <w:color w:val="FF0000"/>
          <w:sz w:val="24"/>
        </w:rPr>
        <w:t>Bold the bullet points that apply and remove the sections from gray bar to gray bar if no bullet points in the section appl</w:t>
      </w:r>
      <w:r>
        <w:rPr>
          <w:rFonts w:ascii="Times New Roman" w:eastAsia="Calibri" w:hAnsi="Times New Roman" w:cs="Times New Roman"/>
          <w:i/>
          <w:color w:val="FF0000"/>
          <w:sz w:val="24"/>
        </w:rPr>
        <w:t>y.</w:t>
      </w: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019"/>
        <w:gridCol w:w="6"/>
      </w:tblGrid>
      <w:tr w:rsidR="00D01AB2" w:rsidRPr="00D01AB2" w14:paraId="6D8E37B5" w14:textId="77777777" w:rsidTr="00F86E60">
        <w:trPr>
          <w:gridAfter w:val="1"/>
          <w:wAfter w:w="6" w:type="dxa"/>
          <w:trHeight w:val="58"/>
        </w:trPr>
        <w:tc>
          <w:tcPr>
            <w:tcW w:w="2251" w:type="dxa"/>
            <w:shd w:val="clear" w:color="auto" w:fill="D9D9D9"/>
          </w:tcPr>
          <w:p w14:paraId="4B7AC98F" w14:textId="77777777" w:rsidR="00D01AB2" w:rsidRPr="00D01AB2" w:rsidRDefault="00D01AB2" w:rsidP="00D01AB2">
            <w:pPr>
              <w:spacing w:after="0" w:line="240" w:lineRule="auto"/>
              <w:rPr>
                <w:rFonts w:ascii="Times New Roman" w:eastAsia="Calibri" w:hAnsi="Times New Roman" w:cs="Times New Roman"/>
                <w:b/>
                <w:sz w:val="12"/>
                <w:szCs w:val="12"/>
              </w:rPr>
            </w:pPr>
          </w:p>
        </w:tc>
        <w:tc>
          <w:tcPr>
            <w:tcW w:w="7019" w:type="dxa"/>
            <w:shd w:val="clear" w:color="auto" w:fill="D9D9D9"/>
          </w:tcPr>
          <w:p w14:paraId="40934A17" w14:textId="77777777" w:rsidR="00D01AB2" w:rsidRPr="00D01AB2" w:rsidRDefault="00D01AB2" w:rsidP="007E2AF8">
            <w:pPr>
              <w:pStyle w:val="NoSpacing"/>
              <w:rPr>
                <w:sz w:val="12"/>
                <w:szCs w:val="12"/>
              </w:rPr>
            </w:pPr>
          </w:p>
        </w:tc>
      </w:tr>
      <w:tr w:rsidR="00D65268" w:rsidRPr="00D01AB2" w14:paraId="5CEEF1ED" w14:textId="77777777" w:rsidTr="00F86E60">
        <w:trPr>
          <w:gridAfter w:val="1"/>
          <w:wAfter w:w="6" w:type="dxa"/>
          <w:trHeight w:val="58"/>
        </w:trPr>
        <w:tc>
          <w:tcPr>
            <w:tcW w:w="2251" w:type="dxa"/>
          </w:tcPr>
          <w:p w14:paraId="0936F9D1" w14:textId="77777777" w:rsidR="00D65268" w:rsidRPr="009070AC" w:rsidRDefault="00D65268" w:rsidP="009070AC">
            <w:pPr>
              <w:pStyle w:val="NoSpacing"/>
              <w:rPr>
                <w:b/>
              </w:rPr>
            </w:pPr>
            <w:r w:rsidRPr="009070AC">
              <w:rPr>
                <w:b/>
              </w:rPr>
              <w:t>Source/Reference</w:t>
            </w:r>
          </w:p>
        </w:tc>
        <w:tc>
          <w:tcPr>
            <w:tcW w:w="7019" w:type="dxa"/>
          </w:tcPr>
          <w:p w14:paraId="1D1A6FAC" w14:textId="77777777" w:rsidR="00F71D68" w:rsidRPr="009070AC" w:rsidRDefault="00F71D68" w:rsidP="009070AC">
            <w:pPr>
              <w:pStyle w:val="NoSpacing"/>
              <w:rPr>
                <w:b/>
              </w:rPr>
            </w:pPr>
            <w:r w:rsidRPr="009070AC">
              <w:rPr>
                <w:b/>
              </w:rPr>
              <w:t>Clinical Significance of Obesity</w:t>
            </w:r>
          </w:p>
          <w:p w14:paraId="4479D3E7" w14:textId="7A965420" w:rsidR="00D65268" w:rsidRDefault="00F71D68" w:rsidP="009070AC">
            <w:pPr>
              <w:pStyle w:val="NoSpacing"/>
              <w:rPr>
                <w:b/>
              </w:rPr>
            </w:pPr>
            <w:r w:rsidRPr="00517C7D">
              <w:rPr>
                <w:b/>
                <w:iCs/>
              </w:rPr>
              <w:t>Coding Clinic</w:t>
            </w:r>
            <w:r w:rsidRPr="009070AC">
              <w:rPr>
                <w:b/>
              </w:rPr>
              <w:t xml:space="preserve">, </w:t>
            </w:r>
            <w:r w:rsidRPr="009070AC">
              <w:rPr>
                <w:b/>
                <w:bCs/>
              </w:rPr>
              <w:t>Third Quarter 2011</w:t>
            </w:r>
            <w:r w:rsidR="00517C7D">
              <w:rPr>
                <w:b/>
                <w:bCs/>
              </w:rPr>
              <w:t>,</w:t>
            </w:r>
            <w:r w:rsidRPr="009070AC">
              <w:rPr>
                <w:b/>
              </w:rPr>
              <w:t xml:space="preserve"> Page 4</w:t>
            </w:r>
          </w:p>
          <w:p w14:paraId="1A3ACD9E" w14:textId="22C274C6" w:rsidR="00A348AC" w:rsidRPr="009070AC" w:rsidRDefault="00A348AC" w:rsidP="009070AC">
            <w:pPr>
              <w:pStyle w:val="NoSpacing"/>
              <w:rPr>
                <w:b/>
              </w:rPr>
            </w:pPr>
            <w:r>
              <w:rPr>
                <w:b/>
              </w:rPr>
              <w:t xml:space="preserve">Effective with Discharges: </w:t>
            </w:r>
            <w:r w:rsidR="006E6A32">
              <w:rPr>
                <w:b/>
              </w:rPr>
              <w:t>September 23, 2011</w:t>
            </w:r>
          </w:p>
        </w:tc>
      </w:tr>
      <w:tr w:rsidR="00D65268" w:rsidRPr="00D01AB2" w14:paraId="569140B3" w14:textId="77777777" w:rsidTr="00F86E60">
        <w:trPr>
          <w:gridAfter w:val="1"/>
          <w:wAfter w:w="6" w:type="dxa"/>
          <w:trHeight w:val="58"/>
        </w:trPr>
        <w:tc>
          <w:tcPr>
            <w:tcW w:w="2251" w:type="dxa"/>
          </w:tcPr>
          <w:p w14:paraId="55C3EE88" w14:textId="77777777" w:rsidR="00D65268" w:rsidRPr="009070AC" w:rsidRDefault="00D65268" w:rsidP="009070AC">
            <w:pPr>
              <w:pStyle w:val="NoSpacing"/>
              <w:rPr>
                <w:b/>
              </w:rPr>
            </w:pPr>
            <w:r w:rsidRPr="009070AC">
              <w:rPr>
                <w:b/>
              </w:rPr>
              <w:t>Practice Guideline Recommendation</w:t>
            </w:r>
          </w:p>
        </w:tc>
        <w:tc>
          <w:tcPr>
            <w:tcW w:w="7019" w:type="dxa"/>
          </w:tcPr>
          <w:p w14:paraId="58A2C4A7" w14:textId="77777777" w:rsidR="00F71D68" w:rsidRPr="009070AC" w:rsidRDefault="00F71D68" w:rsidP="00517C7D">
            <w:pPr>
              <w:pStyle w:val="NoSpacing"/>
              <w:rPr>
                <w:b/>
              </w:rPr>
            </w:pPr>
            <w:r w:rsidRPr="009070AC">
              <w:rPr>
                <w:b/>
              </w:rPr>
              <w:t>Question:</w:t>
            </w:r>
          </w:p>
          <w:p w14:paraId="775F0E0F" w14:textId="77777777" w:rsidR="00F71D68" w:rsidRPr="009070AC" w:rsidRDefault="00F71D68" w:rsidP="00AF5935">
            <w:pPr>
              <w:pStyle w:val="NoSpacing"/>
              <w:numPr>
                <w:ilvl w:val="0"/>
                <w:numId w:val="5"/>
              </w:numPr>
              <w:ind w:left="701"/>
            </w:pPr>
            <w:r w:rsidRPr="009070AC">
              <w:t>If the provider documents obesity or morbid obesity in the history and physical and/or discharge summary only without any additional documentation to support clinical significance of this condition, can it be coded? There is no other documentation to support clinical significance such as evaluation, treatment, increased monitoring, or increased nursing care, etc., for this condition.</w:t>
            </w:r>
          </w:p>
          <w:p w14:paraId="14AB5C06" w14:textId="77777777" w:rsidR="00F71D68" w:rsidRPr="009070AC" w:rsidRDefault="00F71D68" w:rsidP="00517C7D">
            <w:pPr>
              <w:pStyle w:val="NoSpacing"/>
              <w:rPr>
                <w:b/>
              </w:rPr>
            </w:pPr>
            <w:r w:rsidRPr="009070AC">
              <w:rPr>
                <w:b/>
              </w:rPr>
              <w:t>Answer:</w:t>
            </w:r>
          </w:p>
          <w:p w14:paraId="0CF60E5A" w14:textId="77777777" w:rsidR="00D65268" w:rsidRPr="009070AC" w:rsidRDefault="00F71D68" w:rsidP="00AF5935">
            <w:pPr>
              <w:pStyle w:val="NoSpacing"/>
              <w:numPr>
                <w:ilvl w:val="0"/>
                <w:numId w:val="5"/>
              </w:numPr>
              <w:ind w:left="701"/>
            </w:pPr>
            <w:r w:rsidRPr="009070AC">
              <w:t xml:space="preserve">Individuals who are overweight, obese or morbidly obese are at an increased risk for certain medical conditions when compared to persons of normal weight. Therefore, these conditions are always clinically significant and reportable when documented by the provider. In addition, the body mass index (BMI) code meets the requirement for clinical significance when obesity is documented. Refer to Coding Clinic, Third Quarter 2007, pages 13-14, for additional information on coding chronic conditions. </w:t>
            </w:r>
          </w:p>
        </w:tc>
      </w:tr>
      <w:tr w:rsidR="00D65268" w:rsidRPr="00D01AB2" w14:paraId="7B571BA7" w14:textId="77777777" w:rsidTr="00F86E60">
        <w:trPr>
          <w:gridAfter w:val="1"/>
          <w:wAfter w:w="6" w:type="dxa"/>
          <w:trHeight w:val="58"/>
        </w:trPr>
        <w:tc>
          <w:tcPr>
            <w:tcW w:w="2251" w:type="dxa"/>
            <w:shd w:val="clear" w:color="auto" w:fill="D9D9D9"/>
          </w:tcPr>
          <w:p w14:paraId="1D6C0119" w14:textId="77777777" w:rsidR="00D65268" w:rsidRPr="00D01AB2" w:rsidRDefault="00D65268" w:rsidP="006A33FD">
            <w:pPr>
              <w:spacing w:after="0" w:line="240" w:lineRule="auto"/>
              <w:rPr>
                <w:rFonts w:ascii="Times New Roman" w:eastAsia="Calibri" w:hAnsi="Times New Roman" w:cs="Times New Roman"/>
                <w:b/>
                <w:sz w:val="12"/>
                <w:szCs w:val="12"/>
              </w:rPr>
            </w:pPr>
          </w:p>
        </w:tc>
        <w:tc>
          <w:tcPr>
            <w:tcW w:w="7019" w:type="dxa"/>
            <w:shd w:val="clear" w:color="auto" w:fill="D9D9D9"/>
          </w:tcPr>
          <w:p w14:paraId="5372EF67" w14:textId="77777777" w:rsidR="00D65268" w:rsidRPr="00D01AB2" w:rsidRDefault="00D65268" w:rsidP="006A33FD">
            <w:pPr>
              <w:tabs>
                <w:tab w:val="left" w:pos="7182"/>
              </w:tabs>
              <w:spacing w:after="0" w:afterAutospacing="1" w:line="240" w:lineRule="auto"/>
              <w:ind w:right="-810"/>
              <w:rPr>
                <w:rFonts w:ascii="Times New Roman" w:eastAsia="Calibri" w:hAnsi="Times New Roman" w:cs="Times New Roman"/>
                <w:sz w:val="12"/>
                <w:szCs w:val="12"/>
              </w:rPr>
            </w:pPr>
          </w:p>
        </w:tc>
      </w:tr>
      <w:tr w:rsidR="00A348AC" w:rsidRPr="00BB6E32" w14:paraId="776903D7" w14:textId="77777777" w:rsidTr="00E37DC6">
        <w:trPr>
          <w:gridAfter w:val="1"/>
          <w:wAfter w:w="6" w:type="dxa"/>
          <w:trHeight w:val="58"/>
        </w:trPr>
        <w:tc>
          <w:tcPr>
            <w:tcW w:w="2251" w:type="dxa"/>
          </w:tcPr>
          <w:p w14:paraId="66B04D2D" w14:textId="77777777" w:rsidR="00A348AC" w:rsidRPr="00BB6E32" w:rsidRDefault="00A348AC" w:rsidP="00E37DC6">
            <w:pPr>
              <w:pStyle w:val="NoSpacing"/>
              <w:rPr>
                <w:b/>
              </w:rPr>
            </w:pPr>
            <w:bookmarkStart w:id="2" w:name="_Hlk87428180"/>
            <w:r w:rsidRPr="00BB6E32">
              <w:rPr>
                <w:b/>
              </w:rPr>
              <w:t>Source/Reference</w:t>
            </w:r>
          </w:p>
        </w:tc>
        <w:tc>
          <w:tcPr>
            <w:tcW w:w="7019" w:type="dxa"/>
          </w:tcPr>
          <w:p w14:paraId="148DA9B1" w14:textId="6C2AE7E1" w:rsidR="00A348AC" w:rsidRPr="00BB6E32" w:rsidRDefault="00A348AC" w:rsidP="00E37DC6">
            <w:pPr>
              <w:pStyle w:val="NoSpacing"/>
              <w:rPr>
                <w:b/>
              </w:rPr>
            </w:pPr>
            <w:r>
              <w:rPr>
                <w:b/>
              </w:rPr>
              <w:t>Body Mass Index</w:t>
            </w:r>
          </w:p>
          <w:p w14:paraId="19B3A5D3" w14:textId="7CB48B0D" w:rsidR="00A348AC" w:rsidRDefault="00A348AC" w:rsidP="00E37DC6">
            <w:pPr>
              <w:pStyle w:val="NoSpacing"/>
              <w:rPr>
                <w:b/>
              </w:rPr>
            </w:pPr>
            <w:r w:rsidRPr="00517C7D">
              <w:rPr>
                <w:b/>
                <w:iCs/>
              </w:rPr>
              <w:t>Coding Clinic</w:t>
            </w:r>
            <w:r w:rsidRPr="00BB6E32">
              <w:rPr>
                <w:b/>
              </w:rPr>
              <w:t xml:space="preserve">, </w:t>
            </w:r>
            <w:r>
              <w:rPr>
                <w:b/>
                <w:bCs/>
              </w:rPr>
              <w:t>Fourth</w:t>
            </w:r>
            <w:r w:rsidRPr="00BB6E32">
              <w:rPr>
                <w:b/>
                <w:bCs/>
              </w:rPr>
              <w:t xml:space="preserve"> Quarter</w:t>
            </w:r>
            <w:r w:rsidRPr="00BB6E32">
              <w:rPr>
                <w:b/>
              </w:rPr>
              <w:t xml:space="preserve"> 201</w:t>
            </w:r>
            <w:r>
              <w:rPr>
                <w:b/>
              </w:rPr>
              <w:t>8</w:t>
            </w:r>
            <w:r w:rsidR="00517C7D">
              <w:rPr>
                <w:b/>
              </w:rPr>
              <w:t>,</w:t>
            </w:r>
            <w:r w:rsidRPr="00BB6E32">
              <w:rPr>
                <w:b/>
              </w:rPr>
              <w:t xml:space="preserve"> Page </w:t>
            </w:r>
            <w:r>
              <w:rPr>
                <w:b/>
              </w:rPr>
              <w:t>77</w:t>
            </w:r>
          </w:p>
          <w:p w14:paraId="1BED3DD0" w14:textId="2585BA2C" w:rsidR="00A348AC" w:rsidRPr="00BB6E32" w:rsidRDefault="00A348AC" w:rsidP="00E37DC6">
            <w:pPr>
              <w:pStyle w:val="NoSpacing"/>
              <w:rPr>
                <w:b/>
              </w:rPr>
            </w:pPr>
            <w:r>
              <w:rPr>
                <w:b/>
              </w:rPr>
              <w:t>Effective with Discharges: October 8, 2018</w:t>
            </w:r>
          </w:p>
        </w:tc>
      </w:tr>
      <w:tr w:rsidR="00A348AC" w:rsidRPr="00BB6E32" w14:paraId="7186974F" w14:textId="77777777" w:rsidTr="00E37DC6">
        <w:trPr>
          <w:gridAfter w:val="1"/>
          <w:wAfter w:w="6" w:type="dxa"/>
          <w:trHeight w:val="58"/>
        </w:trPr>
        <w:tc>
          <w:tcPr>
            <w:tcW w:w="2251" w:type="dxa"/>
          </w:tcPr>
          <w:p w14:paraId="12C5408D" w14:textId="77777777" w:rsidR="00A348AC" w:rsidRPr="00BB6E32" w:rsidRDefault="00A348AC" w:rsidP="00E37DC6">
            <w:pPr>
              <w:pStyle w:val="NoSpacing"/>
              <w:rPr>
                <w:b/>
              </w:rPr>
            </w:pPr>
            <w:r w:rsidRPr="00BB6E32">
              <w:rPr>
                <w:b/>
              </w:rPr>
              <w:t>Practice Guideline Recommendation</w:t>
            </w:r>
          </w:p>
        </w:tc>
        <w:tc>
          <w:tcPr>
            <w:tcW w:w="7019" w:type="dxa"/>
          </w:tcPr>
          <w:p w14:paraId="344A1500" w14:textId="77777777" w:rsidR="00A348AC" w:rsidRPr="00BB6E32" w:rsidRDefault="00A348AC" w:rsidP="00517C7D">
            <w:pPr>
              <w:pStyle w:val="NoSpacing"/>
              <w:rPr>
                <w:b/>
              </w:rPr>
            </w:pPr>
            <w:r w:rsidRPr="00BB6E32">
              <w:rPr>
                <w:b/>
              </w:rPr>
              <w:t>Question:</w:t>
            </w:r>
          </w:p>
          <w:p w14:paraId="67AAC6AA" w14:textId="630D9C40" w:rsidR="00A348AC" w:rsidRDefault="00A348AC" w:rsidP="00AF5935">
            <w:pPr>
              <w:pStyle w:val="NoSpacing"/>
              <w:numPr>
                <w:ilvl w:val="0"/>
                <w:numId w:val="5"/>
              </w:numPr>
            </w:pPr>
            <w:r>
              <w:t xml:space="preserve">If the provider documents obesity or morbid obesity in the history and physical and/or discharge summary only, without any additional documentation to support the clinical significance of this condition, can it be coded? There is no other documentation to support clinical significance for this condition such as evaluation, treatment, increased monitoring, or increased nursing care, </w:t>
            </w:r>
            <w:r w:rsidR="00A87633">
              <w:t xml:space="preserve">etc. </w:t>
            </w:r>
          </w:p>
          <w:p w14:paraId="3EED9BFB" w14:textId="4905340E" w:rsidR="00A348AC" w:rsidRPr="00BB6E32" w:rsidRDefault="00A348AC" w:rsidP="00517C7D">
            <w:pPr>
              <w:pStyle w:val="NoSpacing"/>
              <w:rPr>
                <w:b/>
                <w:bCs/>
              </w:rPr>
            </w:pPr>
            <w:r w:rsidRPr="00BB6E32">
              <w:rPr>
                <w:b/>
                <w:bCs/>
              </w:rPr>
              <w:t>Answer:</w:t>
            </w:r>
          </w:p>
          <w:p w14:paraId="41927E57" w14:textId="6CE724BC" w:rsidR="00A348AC" w:rsidRPr="00163BC5" w:rsidRDefault="000B6F6D" w:rsidP="00AF5935">
            <w:pPr>
              <w:pStyle w:val="NoSpacing"/>
              <w:numPr>
                <w:ilvl w:val="0"/>
                <w:numId w:val="5"/>
              </w:numPr>
              <w:ind w:left="701"/>
              <w:rPr>
                <w:szCs w:val="24"/>
              </w:rPr>
            </w:pPr>
            <w:r w:rsidRPr="00163BC5">
              <w:t>Obesity and morbid obesity are always clinically significant and reportable when documented by the provider. In addition, if documented, the body mass index (BMI) code may be coded in addition to the obesity or morbid obesity code.</w:t>
            </w:r>
          </w:p>
          <w:p w14:paraId="7A792645" w14:textId="77777777" w:rsidR="000B6F6D" w:rsidRPr="000B6F6D" w:rsidRDefault="000B6F6D" w:rsidP="000B6F6D">
            <w:pPr>
              <w:pStyle w:val="NoSpacing"/>
              <w:ind w:left="701"/>
              <w:rPr>
                <w:b/>
                <w:bCs/>
                <w:szCs w:val="24"/>
                <w:u w:val="single"/>
              </w:rPr>
            </w:pPr>
          </w:p>
          <w:p w14:paraId="2ABD7341" w14:textId="77777777" w:rsidR="000B6F6D" w:rsidRPr="00BB6E32" w:rsidRDefault="000B6F6D" w:rsidP="00517C7D">
            <w:pPr>
              <w:pStyle w:val="NoSpacing"/>
              <w:rPr>
                <w:b/>
              </w:rPr>
            </w:pPr>
            <w:r w:rsidRPr="00BB6E32">
              <w:rPr>
                <w:b/>
              </w:rPr>
              <w:t>Question:</w:t>
            </w:r>
          </w:p>
          <w:p w14:paraId="0DC7CB6D" w14:textId="77777777" w:rsidR="000B6F6D" w:rsidRDefault="000B6F6D" w:rsidP="00AF5935">
            <w:pPr>
              <w:pStyle w:val="NoSpacing"/>
              <w:numPr>
                <w:ilvl w:val="0"/>
                <w:numId w:val="5"/>
              </w:numPr>
            </w:pPr>
            <w:r w:rsidRPr="000B6F6D">
              <w:lastRenderedPageBreak/>
              <w:t>When a patient has a BMI below 40, but morbid obesity is documented by the anesthesiologist (no other documentation regarding the patient's obesity is recorded in the health record), is it appropriate to code morbid obesity or is a query recommended?</w:t>
            </w:r>
          </w:p>
          <w:p w14:paraId="063B1BA0" w14:textId="34F3F341" w:rsidR="000B6F6D" w:rsidRPr="00BB6E32" w:rsidRDefault="000B6F6D" w:rsidP="00517C7D">
            <w:pPr>
              <w:pStyle w:val="NoSpacing"/>
              <w:rPr>
                <w:b/>
                <w:bCs/>
              </w:rPr>
            </w:pPr>
            <w:r w:rsidRPr="00BB6E32">
              <w:rPr>
                <w:b/>
                <w:bCs/>
              </w:rPr>
              <w:t>Answer:</w:t>
            </w:r>
          </w:p>
          <w:p w14:paraId="36B78365" w14:textId="1792F158" w:rsidR="000B6F6D" w:rsidRPr="00163BC5" w:rsidRDefault="000B6F6D" w:rsidP="00163BC5">
            <w:pPr>
              <w:pStyle w:val="NoSpacing"/>
              <w:numPr>
                <w:ilvl w:val="0"/>
                <w:numId w:val="5"/>
              </w:numPr>
              <w:ind w:left="701"/>
            </w:pPr>
            <w:r w:rsidRPr="00163BC5">
              <w:t xml:space="preserve">Codes for overweight, obesity or morbid obesity are assigned based on the provider's documentation of these conditions. Therefore, if morbid obesity is documented, assign code E66.01, Morbid (severe) obesity due to excess calories. While the BMI is used as a screening tool for patients who are overweight or obese, there is no coding rule that defines what BMI values correspond to obesity or morbid obesity, since the conditions are coded only when diagnosed and documented by the provider or another physician involved in the patient's care. </w:t>
            </w:r>
          </w:p>
          <w:p w14:paraId="1CF30401" w14:textId="77777777" w:rsidR="00163BC5" w:rsidRDefault="00163BC5" w:rsidP="00163BC5">
            <w:pPr>
              <w:pStyle w:val="NoSpacing"/>
              <w:ind w:left="701"/>
            </w:pPr>
          </w:p>
          <w:p w14:paraId="39389029" w14:textId="7B418E0A" w:rsidR="000B6F6D" w:rsidRPr="000B6F6D" w:rsidRDefault="000B6F6D" w:rsidP="00163BC5">
            <w:pPr>
              <w:pStyle w:val="NoSpacing"/>
              <w:ind w:left="701"/>
            </w:pPr>
            <w:r w:rsidRPr="000B6F6D">
              <w:t xml:space="preserve">As noted in the </w:t>
            </w:r>
            <w:r w:rsidRPr="000B6F6D">
              <w:rPr>
                <w:i/>
                <w:iCs/>
              </w:rPr>
              <w:t>Official Guidelines for Coding and Reporting</w:t>
            </w:r>
            <w:r w:rsidRPr="000B6F6D">
              <w:t xml:space="preserve">, Section I.A.19, "The assignment of a diagnosis code is based on the provider's diagnostic statement that the condition exists. The provider's statement that the patient has a particular condition is sufficient. Code assignment is not based on clinical criteria used by the provider to establish the diagnosis." Please refer to </w:t>
            </w:r>
            <w:r w:rsidRPr="000B6F6D">
              <w:rPr>
                <w:i/>
                <w:iCs/>
              </w:rPr>
              <w:t>Coding Clinic</w:t>
            </w:r>
            <w:r w:rsidRPr="000B6F6D">
              <w:t xml:space="preserve">, Fourth Quarter 2016, pages 147-149, for additional information regarding this guideline. </w:t>
            </w:r>
          </w:p>
          <w:p w14:paraId="7B061DC9" w14:textId="77777777" w:rsidR="00163BC5" w:rsidRDefault="00163BC5" w:rsidP="00163BC5">
            <w:pPr>
              <w:pStyle w:val="NoSpacing"/>
              <w:ind w:left="701"/>
            </w:pPr>
          </w:p>
          <w:p w14:paraId="410DF7D3" w14:textId="31ED6345" w:rsidR="000B6F6D" w:rsidRDefault="000B6F6D" w:rsidP="00163BC5">
            <w:pPr>
              <w:pStyle w:val="NoSpacing"/>
              <w:ind w:left="701"/>
            </w:pPr>
            <w:r w:rsidRPr="000B6F6D">
              <w:t xml:space="preserve">Documentation from physicians other than the attending physician (i.e., consultants, residents, anesthesiologists, etc.) is acceptable, as long as there is no conflicting information from the attending physician.  </w:t>
            </w:r>
          </w:p>
          <w:p w14:paraId="4639E1BE" w14:textId="77777777" w:rsidR="000B6F6D" w:rsidRDefault="000B6F6D" w:rsidP="000B6F6D">
            <w:pPr>
              <w:pStyle w:val="NoSpacing"/>
              <w:ind w:left="341"/>
              <w:rPr>
                <w:b/>
              </w:rPr>
            </w:pPr>
          </w:p>
          <w:p w14:paraId="2D1BBA3B" w14:textId="68956468" w:rsidR="000B6F6D" w:rsidRPr="00BB6E32" w:rsidRDefault="000B6F6D" w:rsidP="00517C7D">
            <w:pPr>
              <w:pStyle w:val="NoSpacing"/>
              <w:rPr>
                <w:b/>
              </w:rPr>
            </w:pPr>
            <w:r w:rsidRPr="00BB6E32">
              <w:rPr>
                <w:b/>
              </w:rPr>
              <w:t>Question:</w:t>
            </w:r>
          </w:p>
          <w:p w14:paraId="5CF6EA4F" w14:textId="20ABD038" w:rsidR="000B6F6D" w:rsidRDefault="000B6F6D" w:rsidP="00AF5935">
            <w:pPr>
              <w:pStyle w:val="NoSpacing"/>
              <w:numPr>
                <w:ilvl w:val="0"/>
                <w:numId w:val="7"/>
              </w:numPr>
            </w:pPr>
            <w:r w:rsidRPr="000B6F6D">
              <w:t xml:space="preserve">A three-year-old is admitted to the hospital with physical signs of undernutrition and growth rate that was less than the 5th percentile for his age. The physician diagnosed failure to thrive. Would it be appropriate to assign the BMI as an additional code? How should this case be </w:t>
            </w:r>
            <w:r w:rsidR="00A87633" w:rsidRPr="000B6F6D">
              <w:t>coded?</w:t>
            </w:r>
          </w:p>
          <w:p w14:paraId="50420989" w14:textId="7C90E039" w:rsidR="000B6F6D" w:rsidRPr="00BB6E32" w:rsidRDefault="000B6F6D" w:rsidP="00517C7D">
            <w:pPr>
              <w:pStyle w:val="NoSpacing"/>
              <w:rPr>
                <w:b/>
                <w:bCs/>
              </w:rPr>
            </w:pPr>
            <w:r w:rsidRPr="00BB6E32">
              <w:rPr>
                <w:b/>
                <w:bCs/>
              </w:rPr>
              <w:t>Answer:</w:t>
            </w:r>
          </w:p>
          <w:p w14:paraId="3ECB4D12" w14:textId="73ABFCA3" w:rsidR="000B6F6D" w:rsidRPr="000B6F6D" w:rsidRDefault="000B6F6D" w:rsidP="00AF5935">
            <w:pPr>
              <w:pStyle w:val="NoSpacing"/>
              <w:numPr>
                <w:ilvl w:val="0"/>
                <w:numId w:val="7"/>
              </w:numPr>
            </w:pPr>
            <w:r w:rsidRPr="00163BC5">
              <w:t>Yes, it is appropriate to assign the BMI code when the patient has an associated diagnosis, such as failure to thrive.</w:t>
            </w:r>
            <w:r w:rsidRPr="000B6F6D">
              <w:t xml:space="preserve"> Assign code R62.51, Failure to thrive (child), as the principal diagnosis. Code Z68.51, body mass index (BMI) pediatric, less than 5th percentile for age, should be assigned as an additional diagnosis.</w:t>
            </w:r>
          </w:p>
          <w:p w14:paraId="2807ECD5" w14:textId="77777777" w:rsidR="000B6F6D" w:rsidRDefault="000B6F6D" w:rsidP="000B6F6D">
            <w:pPr>
              <w:pStyle w:val="NoSpacing"/>
            </w:pPr>
          </w:p>
          <w:p w14:paraId="34053738" w14:textId="77777777" w:rsidR="000B6F6D" w:rsidRPr="00BB6E32" w:rsidRDefault="000B6F6D" w:rsidP="00517C7D">
            <w:pPr>
              <w:pStyle w:val="NoSpacing"/>
              <w:rPr>
                <w:b/>
              </w:rPr>
            </w:pPr>
            <w:r w:rsidRPr="00BB6E32">
              <w:rPr>
                <w:b/>
              </w:rPr>
              <w:lastRenderedPageBreak/>
              <w:t>Question:</w:t>
            </w:r>
          </w:p>
          <w:p w14:paraId="12629D81" w14:textId="77777777" w:rsidR="000B6F6D" w:rsidRDefault="000B6F6D" w:rsidP="00AF5935">
            <w:pPr>
              <w:pStyle w:val="NoSpacing"/>
              <w:numPr>
                <w:ilvl w:val="0"/>
                <w:numId w:val="7"/>
              </w:numPr>
            </w:pPr>
            <w:r w:rsidRPr="000B6F6D">
              <w:t xml:space="preserve">Is the BMI measurement assigned as an additional code with diagnoses, such as malnutrition, anorexia nervosa or other eating disorders, cachexia, and abnormal weight loss/gain, when there is no instruction in the Tabular list to use an additional code to identify body mass index? </w:t>
            </w:r>
          </w:p>
          <w:p w14:paraId="5225E398" w14:textId="63F6E957" w:rsidR="000B6F6D" w:rsidRPr="00BB6E32" w:rsidRDefault="000B6F6D" w:rsidP="00517C7D">
            <w:pPr>
              <w:pStyle w:val="NoSpacing"/>
              <w:rPr>
                <w:b/>
                <w:bCs/>
              </w:rPr>
            </w:pPr>
            <w:r w:rsidRPr="00BB6E32">
              <w:rPr>
                <w:b/>
                <w:bCs/>
              </w:rPr>
              <w:t>Answer:</w:t>
            </w:r>
          </w:p>
          <w:p w14:paraId="298F59DF" w14:textId="77777777" w:rsidR="000B6F6D" w:rsidRPr="00163BC5" w:rsidRDefault="000B6F6D" w:rsidP="00AF5935">
            <w:pPr>
              <w:pStyle w:val="NoSpacing"/>
              <w:numPr>
                <w:ilvl w:val="0"/>
                <w:numId w:val="7"/>
              </w:numPr>
            </w:pPr>
            <w:r w:rsidRPr="00163BC5">
              <w:t>Yes, it would be appropriate to assign the BMI as a secondary code with associated diagnoses such as malnutrition, anorexia nervosa or other eating disorders, cachexia, and abnormal weight loss/gain.</w:t>
            </w:r>
          </w:p>
          <w:p w14:paraId="31094EE9" w14:textId="77777777" w:rsidR="000B6F6D" w:rsidRDefault="000B6F6D" w:rsidP="000B6F6D">
            <w:pPr>
              <w:pStyle w:val="NoSpacing"/>
              <w:rPr>
                <w:b/>
                <w:bCs/>
                <w:u w:val="single"/>
              </w:rPr>
            </w:pPr>
          </w:p>
          <w:p w14:paraId="2B31C6F4" w14:textId="77777777" w:rsidR="000B6F6D" w:rsidRPr="00BB6E32" w:rsidRDefault="000B6F6D" w:rsidP="00517C7D">
            <w:pPr>
              <w:pStyle w:val="NoSpacing"/>
              <w:rPr>
                <w:b/>
              </w:rPr>
            </w:pPr>
            <w:r w:rsidRPr="00BB6E32">
              <w:rPr>
                <w:b/>
              </w:rPr>
              <w:t>Question:</w:t>
            </w:r>
          </w:p>
          <w:p w14:paraId="6A485096" w14:textId="18218BCE" w:rsidR="000B6F6D" w:rsidRDefault="000B6F6D" w:rsidP="00AF5935">
            <w:pPr>
              <w:pStyle w:val="NoSpacing"/>
              <w:numPr>
                <w:ilvl w:val="0"/>
                <w:numId w:val="7"/>
              </w:numPr>
            </w:pPr>
            <w:r w:rsidRPr="000B6F6D">
              <w:t xml:space="preserve">If the provider documents "underweight," can we assign the appropriate Z code for </w:t>
            </w:r>
            <w:r w:rsidR="00A87633" w:rsidRPr="000B6F6D">
              <w:t>BMI?</w:t>
            </w:r>
            <w:r w:rsidRPr="000B6F6D">
              <w:t xml:space="preserve"> </w:t>
            </w:r>
          </w:p>
          <w:p w14:paraId="35563541" w14:textId="31D8EEA7" w:rsidR="000B6F6D" w:rsidRPr="00BB6E32" w:rsidRDefault="000B6F6D" w:rsidP="00517C7D">
            <w:pPr>
              <w:pStyle w:val="NoSpacing"/>
              <w:rPr>
                <w:b/>
                <w:bCs/>
              </w:rPr>
            </w:pPr>
            <w:r w:rsidRPr="00BB6E32">
              <w:rPr>
                <w:b/>
                <w:bCs/>
              </w:rPr>
              <w:t>Answer:</w:t>
            </w:r>
          </w:p>
          <w:p w14:paraId="3C85BBE8" w14:textId="5D6B51C6" w:rsidR="000B6F6D" w:rsidRPr="006E6A32" w:rsidRDefault="006E6A32" w:rsidP="00AF5935">
            <w:pPr>
              <w:pStyle w:val="NoSpacing"/>
              <w:numPr>
                <w:ilvl w:val="0"/>
                <w:numId w:val="7"/>
              </w:numPr>
            </w:pPr>
            <w:r w:rsidRPr="006E6A32">
              <w:t>If the provider documents "underweight," the Z code for the documented BMI may be assigned</w:t>
            </w:r>
            <w:r w:rsidR="00A87633" w:rsidRPr="006E6A32">
              <w:t xml:space="preserve">. </w:t>
            </w:r>
            <w:r w:rsidRPr="006E6A32">
              <w:t xml:space="preserve">As stated in the </w:t>
            </w:r>
            <w:r w:rsidRPr="006E6A32">
              <w:rPr>
                <w:i/>
                <w:iCs/>
              </w:rPr>
              <w:t>Official Guidelines for Coding and Reporting</w:t>
            </w:r>
            <w:r w:rsidRPr="006E6A32">
              <w:t>, Section I.B.14, the associated diagnosis (such as overweight or obesity) must be documented by the patient's provider. The guideline was not intended to limit the reporting of the Z code for BMI to only overweight and obesity.</w:t>
            </w:r>
          </w:p>
        </w:tc>
      </w:tr>
      <w:tr w:rsidR="00A348AC" w:rsidRPr="00D01AB2" w14:paraId="312B9086" w14:textId="77777777" w:rsidTr="00E37DC6">
        <w:trPr>
          <w:gridAfter w:val="1"/>
          <w:wAfter w:w="6" w:type="dxa"/>
          <w:trHeight w:val="58"/>
        </w:trPr>
        <w:tc>
          <w:tcPr>
            <w:tcW w:w="2251" w:type="dxa"/>
            <w:shd w:val="clear" w:color="auto" w:fill="D9D9D9"/>
          </w:tcPr>
          <w:p w14:paraId="53679E58" w14:textId="77777777" w:rsidR="00A348AC" w:rsidRPr="00D01AB2" w:rsidRDefault="00A348AC" w:rsidP="00E37DC6">
            <w:pPr>
              <w:spacing w:after="0" w:line="240" w:lineRule="auto"/>
              <w:rPr>
                <w:rFonts w:ascii="Times New Roman" w:eastAsia="Calibri" w:hAnsi="Times New Roman" w:cs="Times New Roman"/>
                <w:b/>
                <w:sz w:val="12"/>
                <w:szCs w:val="12"/>
              </w:rPr>
            </w:pPr>
          </w:p>
        </w:tc>
        <w:tc>
          <w:tcPr>
            <w:tcW w:w="7019" w:type="dxa"/>
            <w:shd w:val="clear" w:color="auto" w:fill="D9D9D9"/>
          </w:tcPr>
          <w:p w14:paraId="49327E7E" w14:textId="77777777" w:rsidR="00A348AC" w:rsidRPr="00D01AB2" w:rsidRDefault="00A348AC" w:rsidP="00E37DC6">
            <w:pPr>
              <w:tabs>
                <w:tab w:val="left" w:pos="7182"/>
              </w:tabs>
              <w:spacing w:after="0" w:afterAutospacing="1" w:line="240" w:lineRule="auto"/>
              <w:ind w:right="-810"/>
              <w:rPr>
                <w:rFonts w:ascii="Times New Roman" w:eastAsia="Calibri" w:hAnsi="Times New Roman" w:cs="Times New Roman"/>
                <w:sz w:val="12"/>
                <w:szCs w:val="12"/>
              </w:rPr>
            </w:pPr>
          </w:p>
        </w:tc>
      </w:tr>
      <w:tr w:rsidR="00D65268" w:rsidRPr="00D01AB2" w14:paraId="5F970769" w14:textId="77777777" w:rsidTr="00F86E60">
        <w:trPr>
          <w:gridAfter w:val="1"/>
          <w:wAfter w:w="6" w:type="dxa"/>
          <w:trHeight w:val="58"/>
        </w:trPr>
        <w:tc>
          <w:tcPr>
            <w:tcW w:w="2251" w:type="dxa"/>
          </w:tcPr>
          <w:p w14:paraId="57CCE2AF" w14:textId="77777777" w:rsidR="00D65268" w:rsidRPr="00BB6E32" w:rsidRDefault="00D65268" w:rsidP="00BB6E32">
            <w:pPr>
              <w:pStyle w:val="NoSpacing"/>
              <w:rPr>
                <w:b/>
              </w:rPr>
            </w:pPr>
            <w:r w:rsidRPr="00BB6E32">
              <w:rPr>
                <w:b/>
              </w:rPr>
              <w:t>Source/Reference</w:t>
            </w:r>
          </w:p>
        </w:tc>
        <w:tc>
          <w:tcPr>
            <w:tcW w:w="7019" w:type="dxa"/>
          </w:tcPr>
          <w:p w14:paraId="6A2127B7" w14:textId="77777777" w:rsidR="00717F4C" w:rsidRPr="00BB6E32" w:rsidRDefault="00717F4C" w:rsidP="00BB6E32">
            <w:pPr>
              <w:pStyle w:val="NoSpacing"/>
              <w:rPr>
                <w:b/>
              </w:rPr>
            </w:pPr>
            <w:r w:rsidRPr="00BB6E32">
              <w:rPr>
                <w:b/>
              </w:rPr>
              <w:t>Clarification, Body Mass Index (BMI) Reporting</w:t>
            </w:r>
          </w:p>
          <w:p w14:paraId="2C3BF7DC" w14:textId="1254928D" w:rsidR="00D65268" w:rsidRDefault="00717F4C" w:rsidP="00BB6E32">
            <w:pPr>
              <w:pStyle w:val="NoSpacing"/>
              <w:rPr>
                <w:b/>
              </w:rPr>
            </w:pPr>
            <w:r w:rsidRPr="00BB6E32">
              <w:rPr>
                <w:b/>
                <w:i/>
              </w:rPr>
              <w:t>Coding Clinic</w:t>
            </w:r>
            <w:r w:rsidRPr="00BB6E32">
              <w:rPr>
                <w:b/>
              </w:rPr>
              <w:t xml:space="preserve">, </w:t>
            </w:r>
            <w:r w:rsidRPr="00BB6E32">
              <w:rPr>
                <w:b/>
                <w:bCs/>
              </w:rPr>
              <w:t>Second Quarter</w:t>
            </w:r>
            <w:r w:rsidRPr="00BB6E32">
              <w:rPr>
                <w:b/>
              </w:rPr>
              <w:t xml:space="preserve"> 2010</w:t>
            </w:r>
            <w:r w:rsidR="00517C7D">
              <w:rPr>
                <w:b/>
              </w:rPr>
              <w:t>,</w:t>
            </w:r>
            <w:r w:rsidRPr="00BB6E32">
              <w:rPr>
                <w:b/>
              </w:rPr>
              <w:t xml:space="preserve"> Page 15</w:t>
            </w:r>
          </w:p>
          <w:p w14:paraId="14FD9703" w14:textId="078E6252" w:rsidR="00A348AC" w:rsidRPr="00BB6E32" w:rsidRDefault="00A348AC" w:rsidP="00BB6E32">
            <w:pPr>
              <w:pStyle w:val="NoSpacing"/>
              <w:rPr>
                <w:b/>
              </w:rPr>
            </w:pPr>
            <w:r>
              <w:rPr>
                <w:b/>
              </w:rPr>
              <w:t>Effective with Discharges:</w:t>
            </w:r>
            <w:r w:rsidR="006E6A32">
              <w:rPr>
                <w:b/>
              </w:rPr>
              <w:t xml:space="preserve"> July 7, 2010</w:t>
            </w:r>
          </w:p>
        </w:tc>
      </w:tr>
      <w:tr w:rsidR="00D65268" w:rsidRPr="00D01AB2" w14:paraId="6C0C5F3B" w14:textId="77777777" w:rsidTr="00F86E60">
        <w:trPr>
          <w:gridAfter w:val="1"/>
          <w:wAfter w:w="6" w:type="dxa"/>
          <w:trHeight w:val="58"/>
        </w:trPr>
        <w:tc>
          <w:tcPr>
            <w:tcW w:w="2251" w:type="dxa"/>
          </w:tcPr>
          <w:p w14:paraId="40041F43" w14:textId="77777777" w:rsidR="00D65268" w:rsidRPr="00BB6E32" w:rsidRDefault="00D65268" w:rsidP="00BB6E32">
            <w:pPr>
              <w:pStyle w:val="NoSpacing"/>
              <w:rPr>
                <w:b/>
              </w:rPr>
            </w:pPr>
            <w:r w:rsidRPr="00BB6E32">
              <w:rPr>
                <w:b/>
              </w:rPr>
              <w:t>Practice Guideline Recommendation</w:t>
            </w:r>
          </w:p>
        </w:tc>
        <w:tc>
          <w:tcPr>
            <w:tcW w:w="7019" w:type="dxa"/>
          </w:tcPr>
          <w:p w14:paraId="79301831" w14:textId="77777777" w:rsidR="00717F4C" w:rsidRPr="00BB6E32" w:rsidRDefault="00717F4C" w:rsidP="00517C7D">
            <w:pPr>
              <w:pStyle w:val="NoSpacing"/>
              <w:rPr>
                <w:b/>
              </w:rPr>
            </w:pPr>
            <w:r w:rsidRPr="00BB6E32">
              <w:rPr>
                <w:b/>
              </w:rPr>
              <w:t>Question:</w:t>
            </w:r>
          </w:p>
          <w:p w14:paraId="451CFB3F" w14:textId="77777777" w:rsidR="00717F4C" w:rsidRPr="00BB6E32" w:rsidRDefault="00717F4C" w:rsidP="00AF5935">
            <w:pPr>
              <w:pStyle w:val="NoSpacing"/>
              <w:numPr>
                <w:ilvl w:val="0"/>
                <w:numId w:val="5"/>
              </w:numPr>
              <w:ind w:left="701"/>
            </w:pPr>
            <w:r w:rsidRPr="00BB6E32">
              <w:t>There has been some confusion as to whether nursing staff documentation is acceptable for assigning the body mass index (BMI). Since hospitals are allowed to code the BMI based on the dietitian’s documentation, it would seem reasonable to assign the BMI based on the nurse’s documentation as well. Can coders use nursing documentation to assign the BMI?</w:t>
            </w:r>
          </w:p>
          <w:p w14:paraId="03DF8C03" w14:textId="77777777" w:rsidR="00717F4C" w:rsidRPr="00BB6E32" w:rsidRDefault="00717F4C" w:rsidP="00517C7D">
            <w:pPr>
              <w:pStyle w:val="NoSpacing"/>
              <w:rPr>
                <w:b/>
                <w:bCs/>
              </w:rPr>
            </w:pPr>
            <w:r w:rsidRPr="00BB6E32">
              <w:rPr>
                <w:b/>
                <w:bCs/>
              </w:rPr>
              <w:t>Answer:</w:t>
            </w:r>
          </w:p>
          <w:p w14:paraId="320B06B0" w14:textId="77777777" w:rsidR="00D65268" w:rsidRPr="00BB6E32" w:rsidRDefault="00717F4C" w:rsidP="00AF5935">
            <w:pPr>
              <w:pStyle w:val="NoSpacing"/>
              <w:numPr>
                <w:ilvl w:val="0"/>
                <w:numId w:val="5"/>
              </w:numPr>
              <w:ind w:left="701"/>
              <w:rPr>
                <w:szCs w:val="24"/>
              </w:rPr>
            </w:pPr>
            <w:r w:rsidRPr="00BB6E32">
              <w:t xml:space="preserve">Yes, the BMI may be assigned based on medical record documentation from clinicians, including nurses and dietitians who are not the patient’s provider. As stated in the </w:t>
            </w:r>
            <w:r w:rsidRPr="00BB6E32">
              <w:rPr>
                <w:i/>
                <w:iCs/>
              </w:rPr>
              <w:t>Official Guidelines for Coding and Reporting</w:t>
            </w:r>
            <w:r w:rsidRPr="00BB6E32">
              <w:t>, BMI code assignment may be based on medical record documentation from clinicians who are not the patient’s provider, since this information is typically documented by other clinicians involved in the care of the patient. Dietitians were only mentioned as an example of a clinician that might document BMI information.</w:t>
            </w:r>
            <w:r w:rsidRPr="00BB6E32">
              <w:rPr>
                <w:bCs/>
              </w:rPr>
              <w:t xml:space="preserve"> </w:t>
            </w:r>
            <w:r w:rsidRPr="00BB6E32">
              <w:t xml:space="preserve">However, the associated diagnosis (such as overweight, obesity, or </w:t>
            </w:r>
            <w:r w:rsidRPr="00BB6E32">
              <w:lastRenderedPageBreak/>
              <w:t xml:space="preserve">underweight) must be documented by the provider.  </w:t>
            </w:r>
            <w:r w:rsidRPr="00BB6E32">
              <w:rPr>
                <w:szCs w:val="24"/>
              </w:rPr>
              <w:t xml:space="preserve">Refer to the </w:t>
            </w:r>
            <w:r w:rsidRPr="00BB6E32">
              <w:rPr>
                <w:i/>
                <w:iCs/>
                <w:szCs w:val="24"/>
              </w:rPr>
              <w:t>Official Guidelines for Coding and Reporting</w:t>
            </w:r>
            <w:r w:rsidRPr="00BB6E32">
              <w:rPr>
                <w:szCs w:val="24"/>
              </w:rPr>
              <w:t xml:space="preserve"> for additional discussion.</w:t>
            </w:r>
          </w:p>
        </w:tc>
      </w:tr>
      <w:tr w:rsidR="00092BA9" w:rsidRPr="00D01AB2" w14:paraId="08880360" w14:textId="77777777" w:rsidTr="00F86E60">
        <w:trPr>
          <w:gridAfter w:val="1"/>
          <w:wAfter w:w="6" w:type="dxa"/>
          <w:trHeight w:val="58"/>
        </w:trPr>
        <w:tc>
          <w:tcPr>
            <w:tcW w:w="2251" w:type="dxa"/>
            <w:shd w:val="clear" w:color="auto" w:fill="D9D9D9"/>
          </w:tcPr>
          <w:p w14:paraId="31AE5DB6" w14:textId="77777777" w:rsidR="00092BA9" w:rsidRPr="00D01AB2" w:rsidRDefault="00092BA9" w:rsidP="00092BA9">
            <w:pPr>
              <w:spacing w:after="0" w:line="240" w:lineRule="auto"/>
              <w:rPr>
                <w:rFonts w:ascii="Times New Roman" w:eastAsia="Calibri" w:hAnsi="Times New Roman" w:cs="Times New Roman"/>
                <w:b/>
                <w:sz w:val="12"/>
                <w:szCs w:val="12"/>
              </w:rPr>
            </w:pPr>
          </w:p>
        </w:tc>
        <w:tc>
          <w:tcPr>
            <w:tcW w:w="7019" w:type="dxa"/>
            <w:shd w:val="clear" w:color="auto" w:fill="D9D9D9"/>
          </w:tcPr>
          <w:p w14:paraId="094DCB97" w14:textId="77777777" w:rsidR="00092BA9" w:rsidRPr="00D01AB2" w:rsidRDefault="00092BA9" w:rsidP="00092BA9">
            <w:pPr>
              <w:tabs>
                <w:tab w:val="left" w:pos="7182"/>
              </w:tabs>
              <w:spacing w:after="0" w:afterAutospacing="1" w:line="240" w:lineRule="auto"/>
              <w:ind w:right="-810"/>
              <w:rPr>
                <w:rFonts w:ascii="Times New Roman" w:eastAsia="Calibri" w:hAnsi="Times New Roman" w:cs="Times New Roman"/>
                <w:sz w:val="12"/>
                <w:szCs w:val="12"/>
              </w:rPr>
            </w:pPr>
          </w:p>
        </w:tc>
      </w:tr>
      <w:bookmarkEnd w:id="2"/>
      <w:tr w:rsidR="00517C7D" w:rsidRPr="002F18EB" w14:paraId="5E414AED" w14:textId="77777777" w:rsidTr="00E37DC6">
        <w:trPr>
          <w:gridAfter w:val="1"/>
          <w:wAfter w:w="6" w:type="dxa"/>
          <w:trHeight w:val="58"/>
        </w:trPr>
        <w:tc>
          <w:tcPr>
            <w:tcW w:w="2251" w:type="dxa"/>
          </w:tcPr>
          <w:p w14:paraId="3D522F29" w14:textId="127BFD2C" w:rsidR="00517C7D" w:rsidRPr="00613F7A" w:rsidRDefault="00517C7D" w:rsidP="00517C7D">
            <w:pPr>
              <w:pStyle w:val="NoSpacing"/>
              <w:rPr>
                <w:b/>
              </w:rPr>
            </w:pPr>
            <w:r w:rsidRPr="00D01AB2">
              <w:rPr>
                <w:b/>
                <w:szCs w:val="24"/>
              </w:rPr>
              <w:t>Source/Reference</w:t>
            </w:r>
          </w:p>
        </w:tc>
        <w:tc>
          <w:tcPr>
            <w:tcW w:w="7019" w:type="dxa"/>
          </w:tcPr>
          <w:p w14:paraId="7F28E65C" w14:textId="77777777" w:rsidR="00517C7D" w:rsidRPr="00517C7D" w:rsidRDefault="00517C7D" w:rsidP="00517C7D">
            <w:pPr>
              <w:pStyle w:val="NoSpacing"/>
              <w:rPr>
                <w:b/>
                <w:bCs/>
                <w:szCs w:val="24"/>
              </w:rPr>
            </w:pPr>
            <w:r w:rsidRPr="00517C7D">
              <w:rPr>
                <w:b/>
                <w:bCs/>
                <w:szCs w:val="24"/>
              </w:rPr>
              <w:t xml:space="preserve">Applying Past Issues of AHA Coding Clinic for ICD-9-CM to ICD-10 </w:t>
            </w:r>
          </w:p>
          <w:p w14:paraId="5F1A4EC8" w14:textId="77777777" w:rsidR="00517C7D" w:rsidRPr="00517C7D" w:rsidRDefault="00517C7D" w:rsidP="00517C7D">
            <w:pPr>
              <w:pStyle w:val="NoSpacing"/>
              <w:rPr>
                <w:b/>
                <w:bCs/>
                <w:szCs w:val="24"/>
              </w:rPr>
            </w:pPr>
            <w:r w:rsidRPr="00517C7D">
              <w:rPr>
                <w:b/>
                <w:bCs/>
                <w:szCs w:val="24"/>
              </w:rPr>
              <w:t xml:space="preserve">Coding Clinic, Fourth Quarter 2015, Page 20 </w:t>
            </w:r>
          </w:p>
          <w:p w14:paraId="24049127" w14:textId="0F4D3623" w:rsidR="00517C7D" w:rsidRPr="00517C7D" w:rsidRDefault="00517C7D" w:rsidP="00517C7D">
            <w:pPr>
              <w:pStyle w:val="NoSpacing"/>
              <w:rPr>
                <w:b/>
                <w:color w:val="000000"/>
                <w:szCs w:val="24"/>
              </w:rPr>
            </w:pPr>
            <w:r w:rsidRPr="00517C7D">
              <w:rPr>
                <w:b/>
                <w:bCs/>
                <w:szCs w:val="24"/>
              </w:rPr>
              <w:t>Coding advice or code assignments contained in this issue effective with discharges November 13, 2015</w:t>
            </w:r>
          </w:p>
        </w:tc>
      </w:tr>
      <w:tr w:rsidR="00517C7D" w:rsidRPr="006A33FD" w14:paraId="326FB04D" w14:textId="77777777" w:rsidTr="00E37DC6">
        <w:trPr>
          <w:gridAfter w:val="1"/>
          <w:wAfter w:w="6" w:type="dxa"/>
          <w:trHeight w:val="58"/>
        </w:trPr>
        <w:tc>
          <w:tcPr>
            <w:tcW w:w="2251" w:type="dxa"/>
          </w:tcPr>
          <w:p w14:paraId="09E44410" w14:textId="08E8BFB0" w:rsidR="00517C7D" w:rsidRPr="00613F7A" w:rsidRDefault="00517C7D" w:rsidP="00517C7D">
            <w:pPr>
              <w:pStyle w:val="NoSpacing"/>
              <w:rPr>
                <w:b/>
              </w:rPr>
            </w:pPr>
            <w:r w:rsidRPr="00D01AB2">
              <w:rPr>
                <w:b/>
                <w:szCs w:val="24"/>
              </w:rPr>
              <w:t>Practice Guideline Recommendation</w:t>
            </w:r>
          </w:p>
        </w:tc>
        <w:tc>
          <w:tcPr>
            <w:tcW w:w="7019" w:type="dxa"/>
          </w:tcPr>
          <w:p w14:paraId="681F63B0" w14:textId="77777777" w:rsidR="00517C7D" w:rsidRPr="00517C7D" w:rsidRDefault="00517C7D" w:rsidP="00517C7D">
            <w:pPr>
              <w:pStyle w:val="NoSpacing"/>
              <w:numPr>
                <w:ilvl w:val="0"/>
                <w:numId w:val="10"/>
              </w:numPr>
              <w:rPr>
                <w:szCs w:val="24"/>
              </w:rPr>
            </w:pPr>
            <w:r w:rsidRPr="00517C7D">
              <w:rPr>
                <w:szCs w:val="24"/>
              </w:rPr>
              <w:t xml:space="preserve">In general, clinical information and information on documentation best practices published in Coding Clinic were not unique to ICD-9-CM and remain applicable for ICD-10-CM with some caveats. For example, </w:t>
            </w:r>
            <w:r w:rsidRPr="00517C7D">
              <w:rPr>
                <w:i/>
                <w:iCs/>
                <w:szCs w:val="24"/>
              </w:rPr>
              <w:t>Coding Clinic</w:t>
            </w:r>
            <w:r w:rsidRPr="00517C7D">
              <w:rPr>
                <w:szCs w:val="24"/>
              </w:rPr>
              <w:t xml:space="preserve"> may still be useful to understand clinical clues when applying the guideline regarding not coding separately signs or symptoms that are integral to a condition. Users may continue to use that information as clues—not clinical criteria.  </w:t>
            </w:r>
          </w:p>
          <w:p w14:paraId="1513C4C0" w14:textId="174042FD" w:rsidR="00517C7D" w:rsidRPr="00517C7D" w:rsidRDefault="00517C7D" w:rsidP="00517C7D">
            <w:pPr>
              <w:pStyle w:val="NoSpacing"/>
              <w:numPr>
                <w:ilvl w:val="0"/>
                <w:numId w:val="1"/>
              </w:numPr>
              <w:rPr>
                <w:szCs w:val="24"/>
              </w:rPr>
            </w:pPr>
            <w:r w:rsidRPr="00517C7D">
              <w:rPr>
                <w:szCs w:val="24"/>
              </w:rPr>
              <w:t xml:space="preserve">As far as previously published advice on documentation is concerned, documentation issues would generally not be unique to ICD-9-CM, and so long as there is nothing new published in </w:t>
            </w:r>
            <w:r w:rsidRPr="00517C7D">
              <w:rPr>
                <w:i/>
                <w:iCs/>
                <w:szCs w:val="24"/>
              </w:rPr>
              <w:t>Coding Clinic for ICD-10-CM and ICD-10-PCS</w:t>
            </w:r>
            <w:r w:rsidRPr="00517C7D">
              <w:rPr>
                <w:szCs w:val="24"/>
              </w:rPr>
              <w:t xml:space="preserve"> to replace it, the advice would stand.</w:t>
            </w:r>
          </w:p>
        </w:tc>
      </w:tr>
      <w:tr w:rsidR="00092BA9" w:rsidRPr="00D01AB2" w14:paraId="17B7C60D" w14:textId="77777777" w:rsidTr="00E37DC6">
        <w:trPr>
          <w:gridAfter w:val="1"/>
          <w:wAfter w:w="6" w:type="dxa"/>
          <w:trHeight w:val="58"/>
        </w:trPr>
        <w:tc>
          <w:tcPr>
            <w:tcW w:w="2251" w:type="dxa"/>
            <w:shd w:val="clear" w:color="auto" w:fill="D9D9D9"/>
          </w:tcPr>
          <w:p w14:paraId="01CB3672" w14:textId="77777777" w:rsidR="00092BA9" w:rsidRPr="00D01AB2" w:rsidRDefault="00092BA9" w:rsidP="00092BA9">
            <w:pPr>
              <w:spacing w:after="0" w:line="240" w:lineRule="auto"/>
              <w:rPr>
                <w:rFonts w:ascii="Times New Roman" w:eastAsia="Calibri" w:hAnsi="Times New Roman" w:cs="Times New Roman"/>
                <w:b/>
                <w:sz w:val="12"/>
                <w:szCs w:val="12"/>
              </w:rPr>
            </w:pPr>
          </w:p>
        </w:tc>
        <w:tc>
          <w:tcPr>
            <w:tcW w:w="7019" w:type="dxa"/>
            <w:shd w:val="clear" w:color="auto" w:fill="D9D9D9"/>
          </w:tcPr>
          <w:p w14:paraId="6BF456ED" w14:textId="77777777" w:rsidR="00092BA9" w:rsidRPr="00D01AB2" w:rsidRDefault="00092BA9" w:rsidP="00092BA9">
            <w:pPr>
              <w:tabs>
                <w:tab w:val="left" w:pos="7182"/>
              </w:tabs>
              <w:spacing w:after="0" w:afterAutospacing="1" w:line="240" w:lineRule="auto"/>
              <w:ind w:right="-810"/>
              <w:rPr>
                <w:rFonts w:ascii="Times New Roman" w:eastAsia="Calibri" w:hAnsi="Times New Roman" w:cs="Times New Roman"/>
                <w:sz w:val="12"/>
                <w:szCs w:val="12"/>
              </w:rPr>
            </w:pPr>
          </w:p>
        </w:tc>
      </w:tr>
      <w:tr w:rsidR="00092BA9" w:rsidRPr="00154035" w14:paraId="549537A5" w14:textId="77777777" w:rsidTr="00E37DC6">
        <w:trPr>
          <w:gridAfter w:val="1"/>
          <w:wAfter w:w="6" w:type="dxa"/>
          <w:trHeight w:val="58"/>
        </w:trPr>
        <w:tc>
          <w:tcPr>
            <w:tcW w:w="2251" w:type="dxa"/>
          </w:tcPr>
          <w:p w14:paraId="0035A62F" w14:textId="77777777" w:rsidR="00092BA9" w:rsidRPr="001E50B7" w:rsidRDefault="00092BA9" w:rsidP="00092BA9">
            <w:pPr>
              <w:pStyle w:val="NoSpacing"/>
              <w:rPr>
                <w:b/>
              </w:rPr>
            </w:pPr>
            <w:r w:rsidRPr="001E50B7">
              <w:rPr>
                <w:b/>
              </w:rPr>
              <w:t>Source/Reference</w:t>
            </w:r>
          </w:p>
        </w:tc>
        <w:tc>
          <w:tcPr>
            <w:tcW w:w="7019" w:type="dxa"/>
          </w:tcPr>
          <w:p w14:paraId="25351B2A" w14:textId="3D91013E" w:rsidR="00092BA9" w:rsidRPr="007C1148" w:rsidRDefault="00517C7D" w:rsidP="00092BA9">
            <w:pPr>
              <w:pStyle w:val="NoSpacing"/>
              <w:rPr>
                <w:rFonts w:eastAsia="Times New Roman"/>
                <w:b/>
                <w:bCs/>
              </w:rPr>
            </w:pPr>
            <w:r>
              <w:rPr>
                <w:rFonts w:eastAsia="Times New Roman"/>
                <w:b/>
                <w:bCs/>
              </w:rPr>
              <w:t xml:space="preserve">Clarification, </w:t>
            </w:r>
            <w:r w:rsidR="00092BA9" w:rsidRPr="007C1148">
              <w:rPr>
                <w:rFonts w:eastAsia="Times New Roman"/>
                <w:b/>
                <w:bCs/>
              </w:rPr>
              <w:t>Coding Chronic Conditions</w:t>
            </w:r>
          </w:p>
          <w:p w14:paraId="385F8859" w14:textId="5E37A04D" w:rsidR="00092BA9" w:rsidRDefault="00092BA9" w:rsidP="00092BA9">
            <w:pPr>
              <w:pStyle w:val="NoSpacing"/>
              <w:rPr>
                <w:b/>
                <w:bCs/>
              </w:rPr>
            </w:pPr>
            <w:r w:rsidRPr="00517C7D">
              <w:rPr>
                <w:b/>
                <w:bCs/>
                <w:iCs/>
              </w:rPr>
              <w:t>Coding Clinic</w:t>
            </w:r>
            <w:r w:rsidR="00A348AC">
              <w:rPr>
                <w:b/>
                <w:bCs/>
              </w:rPr>
              <w:t>, Third Quarter</w:t>
            </w:r>
            <w:r>
              <w:rPr>
                <w:b/>
                <w:bCs/>
              </w:rPr>
              <w:t xml:space="preserve"> 2007</w:t>
            </w:r>
            <w:r w:rsidR="00517C7D">
              <w:rPr>
                <w:b/>
                <w:bCs/>
              </w:rPr>
              <w:t>,</w:t>
            </w:r>
            <w:r>
              <w:rPr>
                <w:b/>
                <w:bCs/>
              </w:rPr>
              <w:t xml:space="preserve"> Page</w:t>
            </w:r>
            <w:r w:rsidRPr="00154035">
              <w:rPr>
                <w:b/>
                <w:bCs/>
              </w:rPr>
              <w:t xml:space="preserve"> 13</w:t>
            </w:r>
          </w:p>
          <w:p w14:paraId="015FD5AE" w14:textId="250AE82B" w:rsidR="00A348AC" w:rsidRPr="00154035" w:rsidRDefault="00A87633" w:rsidP="00092BA9">
            <w:pPr>
              <w:pStyle w:val="NoSpacing"/>
              <w:rPr>
                <w:b/>
                <w:bCs/>
              </w:rPr>
            </w:pPr>
            <w:r>
              <w:rPr>
                <w:b/>
                <w:bCs/>
              </w:rPr>
              <w:t>Effective</w:t>
            </w:r>
            <w:r w:rsidR="00A348AC">
              <w:rPr>
                <w:b/>
                <w:bCs/>
              </w:rPr>
              <w:t xml:space="preserve"> with Discharges: </w:t>
            </w:r>
            <w:r w:rsidR="006E6A32">
              <w:rPr>
                <w:b/>
                <w:bCs/>
              </w:rPr>
              <w:t>September 14, 2007</w:t>
            </w:r>
          </w:p>
        </w:tc>
      </w:tr>
      <w:tr w:rsidR="00092BA9" w:rsidRPr="00401CDE" w14:paraId="5EC3D111" w14:textId="77777777" w:rsidTr="00E37DC6">
        <w:trPr>
          <w:gridAfter w:val="1"/>
          <w:wAfter w:w="6" w:type="dxa"/>
          <w:trHeight w:val="58"/>
        </w:trPr>
        <w:tc>
          <w:tcPr>
            <w:tcW w:w="2251" w:type="dxa"/>
          </w:tcPr>
          <w:p w14:paraId="7B84A110" w14:textId="77777777" w:rsidR="00092BA9" w:rsidRPr="001E50B7" w:rsidRDefault="00092BA9" w:rsidP="00092BA9">
            <w:pPr>
              <w:pStyle w:val="NoSpacing"/>
              <w:rPr>
                <w:b/>
              </w:rPr>
            </w:pPr>
            <w:r w:rsidRPr="001E50B7">
              <w:rPr>
                <w:b/>
              </w:rPr>
              <w:t>Practice Guideline Recommendation</w:t>
            </w:r>
          </w:p>
        </w:tc>
        <w:tc>
          <w:tcPr>
            <w:tcW w:w="7019" w:type="dxa"/>
          </w:tcPr>
          <w:p w14:paraId="2A23CC3D" w14:textId="77777777" w:rsidR="00092BA9" w:rsidRPr="00C52366" w:rsidRDefault="00092BA9" w:rsidP="00517C7D">
            <w:pPr>
              <w:pStyle w:val="NoSpacing"/>
              <w:rPr>
                <w:rFonts w:eastAsia="Times New Roman"/>
                <w:b/>
                <w:bCs/>
              </w:rPr>
            </w:pPr>
            <w:r w:rsidRPr="00C52366">
              <w:rPr>
                <w:rFonts w:eastAsia="Times New Roman"/>
                <w:b/>
                <w:bCs/>
              </w:rPr>
              <w:t>Question:</w:t>
            </w:r>
          </w:p>
          <w:p w14:paraId="3A5F0984" w14:textId="77777777" w:rsidR="00092BA9" w:rsidRPr="00744E23" w:rsidRDefault="00092BA9" w:rsidP="00AF5935">
            <w:pPr>
              <w:pStyle w:val="NoSpacing"/>
              <w:numPr>
                <w:ilvl w:val="0"/>
                <w:numId w:val="5"/>
              </w:numPr>
              <w:rPr>
                <w:rFonts w:eastAsia="Times New Roman"/>
              </w:rPr>
            </w:pPr>
            <w:r w:rsidRPr="006E6A32">
              <w:rPr>
                <w:rFonts w:eastAsia="Times New Roman"/>
                <w:bCs/>
              </w:rPr>
              <w:t>We need to get clarification on the coding of chronic conditions.</w:t>
            </w:r>
            <w:r w:rsidRPr="00744E23">
              <w:rPr>
                <w:rFonts w:eastAsia="Times New Roman"/>
              </w:rPr>
              <w:t xml:space="preserve"> One of the quality improvement organizations (QIOs) will not allow the inclusion of chronic obstructive pulmonary disease (COPD) as a secondary diagnosis when it is only mentioned as a history of COPD and no a</w:t>
            </w:r>
            <w:r>
              <w:rPr>
                <w:rFonts w:eastAsia="Times New Roman"/>
              </w:rPr>
              <w:t xml:space="preserve">ctive treatment is documented. </w:t>
            </w:r>
            <w:r w:rsidRPr="00744E23">
              <w:rPr>
                <w:rFonts w:eastAsia="Times New Roman"/>
              </w:rPr>
              <w:t>Am I correct in stating the presence of a documented history of COPD in the physician’s history and phy</w:t>
            </w:r>
            <w:r>
              <w:rPr>
                <w:rFonts w:eastAsia="Times New Roman"/>
              </w:rPr>
              <w:t xml:space="preserve">sical on an inpatient record is </w:t>
            </w:r>
            <w:r w:rsidRPr="00744E23">
              <w:rPr>
                <w:rFonts w:eastAsia="Times New Roman"/>
              </w:rPr>
              <w:t>enough to code COPD as a secondary diagnosis, since this is a chronic condition that always affects the patient’s care and treatment to some extent?</w:t>
            </w:r>
          </w:p>
          <w:p w14:paraId="6AFCE01F" w14:textId="77777777" w:rsidR="00092BA9" w:rsidRPr="00C52366" w:rsidRDefault="00092BA9" w:rsidP="009D32D4">
            <w:pPr>
              <w:pStyle w:val="NoSpacing"/>
              <w:rPr>
                <w:rFonts w:eastAsia="Times New Roman"/>
                <w:b/>
                <w:bCs/>
              </w:rPr>
            </w:pPr>
            <w:r w:rsidRPr="00C52366">
              <w:rPr>
                <w:rFonts w:eastAsia="Times New Roman"/>
                <w:b/>
                <w:bCs/>
              </w:rPr>
              <w:t>Answer:</w:t>
            </w:r>
          </w:p>
          <w:p w14:paraId="22CE11D3" w14:textId="77777777" w:rsidR="00517C7D" w:rsidRPr="00517C7D" w:rsidRDefault="00517C7D" w:rsidP="00517C7D">
            <w:pPr>
              <w:pStyle w:val="NoSpacing"/>
              <w:numPr>
                <w:ilvl w:val="0"/>
                <w:numId w:val="5"/>
              </w:numPr>
              <w:rPr>
                <w:rFonts w:eastAsia="Times New Roman"/>
              </w:rPr>
            </w:pPr>
            <w:r w:rsidRPr="00517C7D">
              <w:rPr>
                <w:rFonts w:eastAsia="Times New Roman"/>
              </w:rPr>
              <w:t xml:space="preserve">As stated in Coding Clinic, July-August 1985, page 10, the criteria for selection of the conditions to be reported as "other diagnoses" include the severity of the condition, use or consideration of alternative measures in the treatment of the principal diagnosis due to a coexisting condition, increased nursing care required in the care of patients due to the disabling features of the coexisting condition, use of diagnostic </w:t>
            </w:r>
            <w:r w:rsidRPr="00517C7D">
              <w:rPr>
                <w:rFonts w:eastAsia="Times New Roman"/>
              </w:rPr>
              <w:lastRenderedPageBreak/>
              <w:t xml:space="preserve">or therapeutic services for the particular coexisting condition, the need for close monitoring of medications, or modifications of nursing care plans.  </w:t>
            </w:r>
          </w:p>
          <w:p w14:paraId="568EA38B" w14:textId="77777777" w:rsidR="00517C7D" w:rsidRPr="00517C7D" w:rsidRDefault="00517C7D" w:rsidP="008605E8">
            <w:pPr>
              <w:pStyle w:val="NoSpacing"/>
              <w:ind w:left="720"/>
              <w:rPr>
                <w:rFonts w:eastAsia="Times New Roman"/>
              </w:rPr>
            </w:pPr>
            <w:r w:rsidRPr="00517C7D">
              <w:rPr>
                <w:rFonts w:eastAsia="Times New Roman"/>
              </w:rPr>
              <w:t xml:space="preserve"> </w:t>
            </w:r>
          </w:p>
          <w:p w14:paraId="3924E7CF" w14:textId="77777777" w:rsidR="00517C7D" w:rsidRPr="00517C7D" w:rsidRDefault="00517C7D" w:rsidP="008605E8">
            <w:pPr>
              <w:pStyle w:val="NoSpacing"/>
              <w:ind w:left="720"/>
              <w:rPr>
                <w:rFonts w:eastAsia="Times New Roman"/>
              </w:rPr>
            </w:pPr>
            <w:r w:rsidRPr="00517C7D">
              <w:rPr>
                <w:rFonts w:eastAsia="Times New Roman"/>
              </w:rPr>
              <w:t>If there is documentation in the medical record to indicate that the patient has COPD, it should be coded.  Even if this condition is listed only in the history section with no contradictory information, the condition should be coded.  Chronic conditions such as, but not limited to, hypertension, Parkinson's disease, COPD, and diabetes mellitus are chronic systemic diseases that ordinarily should be coded even in the absence of documented intervention or further evaluation.  Some chronic conditions affect the patient for the rest of his or her life and almost always require some form of continuous clinical evaluation or monitoring during hospitalization, and therefore should be coded.  This advice applies to inpatient coding.</w:t>
            </w:r>
          </w:p>
          <w:p w14:paraId="57DDC1A5" w14:textId="77777777" w:rsidR="00517C7D" w:rsidRPr="00517C7D" w:rsidRDefault="00517C7D" w:rsidP="008605E8">
            <w:pPr>
              <w:pStyle w:val="NoSpacing"/>
              <w:ind w:left="720"/>
              <w:rPr>
                <w:rFonts w:eastAsia="Times New Roman"/>
              </w:rPr>
            </w:pPr>
            <w:r w:rsidRPr="00517C7D">
              <w:rPr>
                <w:rFonts w:eastAsia="Times New Roman"/>
              </w:rPr>
              <w:t xml:space="preserve"> </w:t>
            </w:r>
          </w:p>
          <w:p w14:paraId="715AC1C9" w14:textId="77777777" w:rsidR="00517C7D" w:rsidRPr="00517C7D" w:rsidRDefault="00517C7D" w:rsidP="008605E8">
            <w:pPr>
              <w:pStyle w:val="NoSpacing"/>
              <w:ind w:left="720"/>
              <w:rPr>
                <w:rFonts w:eastAsia="Times New Roman"/>
              </w:rPr>
            </w:pPr>
            <w:r w:rsidRPr="00517C7D">
              <w:rPr>
                <w:rFonts w:eastAsia="Times New Roman"/>
              </w:rPr>
              <w:t>For outpatient encounters/visits, chronic conditions that require or affect patient care treatment or management should be coded.</w:t>
            </w:r>
          </w:p>
          <w:p w14:paraId="41C93CF9" w14:textId="77777777" w:rsidR="00517C7D" w:rsidRPr="00517C7D" w:rsidRDefault="00517C7D" w:rsidP="008605E8">
            <w:pPr>
              <w:pStyle w:val="NoSpacing"/>
              <w:ind w:left="720"/>
              <w:rPr>
                <w:rFonts w:eastAsia="Times New Roman"/>
              </w:rPr>
            </w:pPr>
            <w:r w:rsidRPr="00517C7D">
              <w:rPr>
                <w:rFonts w:eastAsia="Times New Roman"/>
              </w:rPr>
              <w:t xml:space="preserve"> </w:t>
            </w:r>
          </w:p>
          <w:p w14:paraId="6034E729" w14:textId="77777777" w:rsidR="00517C7D" w:rsidRPr="00517C7D" w:rsidRDefault="00517C7D" w:rsidP="008605E8">
            <w:pPr>
              <w:pStyle w:val="NoSpacing"/>
              <w:ind w:left="720"/>
              <w:rPr>
                <w:rFonts w:eastAsia="Times New Roman"/>
              </w:rPr>
            </w:pPr>
            <w:r w:rsidRPr="00517C7D">
              <w:rPr>
                <w:rFonts w:eastAsia="Times New Roman"/>
              </w:rPr>
              <w:t>The Official Guidelines for Coding and Reporting for Outpatient Services, state, "Chronic diseases treated on an ongoing basis may be coded and reported as many times as the patient receives treatment and care for the conditions(s).</w:t>
            </w:r>
          </w:p>
          <w:p w14:paraId="6894ED67" w14:textId="77777777" w:rsidR="00517C7D" w:rsidRPr="00517C7D" w:rsidRDefault="00517C7D" w:rsidP="008605E8">
            <w:pPr>
              <w:pStyle w:val="NoSpacing"/>
              <w:ind w:left="720"/>
              <w:rPr>
                <w:rFonts w:eastAsia="Times New Roman"/>
              </w:rPr>
            </w:pPr>
            <w:r w:rsidRPr="00517C7D">
              <w:rPr>
                <w:rFonts w:eastAsia="Times New Roman"/>
              </w:rPr>
              <w:t xml:space="preserve"> </w:t>
            </w:r>
          </w:p>
          <w:p w14:paraId="34647CA2" w14:textId="77777777" w:rsidR="00517C7D" w:rsidRPr="00517C7D" w:rsidRDefault="00517C7D" w:rsidP="008605E8">
            <w:pPr>
              <w:pStyle w:val="NoSpacing"/>
              <w:ind w:left="720"/>
              <w:rPr>
                <w:rFonts w:eastAsia="Times New Roman"/>
              </w:rPr>
            </w:pPr>
            <w:r w:rsidRPr="00517C7D">
              <w:rPr>
                <w:rFonts w:eastAsia="Times New Roman"/>
              </w:rPr>
              <w:t>"Code all documented conditions that coexist at the time of the encounter/visit and require or affect patient care treatment or management.  Do not code conditions that were previously treated and no longer exist."  This information was previously published in Coding Clinic, Fourth Quarter 2006, pages 236-240.</w:t>
            </w:r>
          </w:p>
          <w:p w14:paraId="0E0E2221" w14:textId="77777777" w:rsidR="00517C7D" w:rsidRPr="00517C7D" w:rsidRDefault="00517C7D" w:rsidP="008605E8">
            <w:pPr>
              <w:pStyle w:val="NoSpacing"/>
              <w:ind w:left="720"/>
              <w:rPr>
                <w:rFonts w:eastAsia="Times New Roman"/>
              </w:rPr>
            </w:pPr>
            <w:r w:rsidRPr="00517C7D">
              <w:rPr>
                <w:rFonts w:eastAsia="Times New Roman"/>
              </w:rPr>
              <w:t xml:space="preserve"> </w:t>
            </w:r>
          </w:p>
          <w:p w14:paraId="022EF6EF" w14:textId="4F400635" w:rsidR="00092BA9" w:rsidRPr="00401CDE" w:rsidRDefault="00517C7D" w:rsidP="008605E8">
            <w:pPr>
              <w:pStyle w:val="NoSpacing"/>
              <w:ind w:left="720"/>
              <w:rPr>
                <w:rFonts w:eastAsia="Times New Roman"/>
              </w:rPr>
            </w:pPr>
            <w:r w:rsidRPr="00517C7D">
              <w:rPr>
                <w:rFonts w:eastAsia="Times New Roman"/>
              </w:rPr>
              <w:t>Conversely, conditions that do not require or affect patient care, treatment or management are not reported.</w:t>
            </w:r>
            <w:r w:rsidR="00092BA9" w:rsidRPr="00401CDE">
              <w:rPr>
                <w:rFonts w:eastAsia="Times New Roman"/>
              </w:rPr>
              <w:t>.</w:t>
            </w:r>
            <w:r w:rsidR="00092BA9">
              <w:rPr>
                <w:rFonts w:eastAsia="Times New Roman"/>
              </w:rPr>
              <w:t>”</w:t>
            </w:r>
          </w:p>
        </w:tc>
      </w:tr>
      <w:tr w:rsidR="00092BA9" w14:paraId="1CD4AA87" w14:textId="77777777" w:rsidTr="00034886">
        <w:trPr>
          <w:trHeight w:val="58"/>
        </w:trPr>
        <w:tc>
          <w:tcPr>
            <w:tcW w:w="2251" w:type="dxa"/>
            <w:tcBorders>
              <w:top w:val="single" w:sz="4" w:space="0" w:color="auto"/>
              <w:left w:val="single" w:sz="4" w:space="0" w:color="auto"/>
              <w:bottom w:val="single" w:sz="4" w:space="0" w:color="auto"/>
              <w:right w:val="single" w:sz="4" w:space="0" w:color="auto"/>
            </w:tcBorders>
            <w:shd w:val="clear" w:color="auto" w:fill="D9D9D9"/>
          </w:tcPr>
          <w:p w14:paraId="3B12F18A" w14:textId="77777777" w:rsidR="00092BA9" w:rsidRDefault="00092BA9" w:rsidP="00092BA9">
            <w:pPr>
              <w:spacing w:after="0" w:line="240" w:lineRule="auto"/>
              <w:rPr>
                <w:rFonts w:ascii="Times New Roman" w:eastAsia="Calibri" w:hAnsi="Times New Roman" w:cs="Times New Roman"/>
                <w:b/>
                <w:sz w:val="12"/>
                <w:szCs w:val="12"/>
              </w:rPr>
            </w:pPr>
          </w:p>
        </w:tc>
        <w:tc>
          <w:tcPr>
            <w:tcW w:w="7025" w:type="dxa"/>
            <w:gridSpan w:val="2"/>
            <w:tcBorders>
              <w:top w:val="single" w:sz="4" w:space="0" w:color="auto"/>
              <w:left w:val="single" w:sz="4" w:space="0" w:color="auto"/>
              <w:bottom w:val="single" w:sz="4" w:space="0" w:color="auto"/>
              <w:right w:val="single" w:sz="4" w:space="0" w:color="auto"/>
            </w:tcBorders>
            <w:shd w:val="clear" w:color="auto" w:fill="D9D9D9"/>
          </w:tcPr>
          <w:p w14:paraId="60C9126C" w14:textId="77777777" w:rsidR="00092BA9" w:rsidRDefault="00092BA9" w:rsidP="00092BA9">
            <w:pPr>
              <w:tabs>
                <w:tab w:val="left" w:pos="7182"/>
              </w:tabs>
              <w:spacing w:after="100" w:afterAutospacing="1" w:line="240" w:lineRule="auto"/>
              <w:ind w:right="-810"/>
              <w:rPr>
                <w:rFonts w:ascii="Times New Roman" w:eastAsia="Calibri" w:hAnsi="Times New Roman" w:cs="Times New Roman"/>
                <w:sz w:val="12"/>
                <w:szCs w:val="12"/>
              </w:rPr>
            </w:pPr>
          </w:p>
        </w:tc>
      </w:tr>
      <w:tr w:rsidR="00092BA9" w14:paraId="1E320271" w14:textId="77777777" w:rsidTr="00034886">
        <w:trPr>
          <w:trHeight w:val="58"/>
        </w:trPr>
        <w:tc>
          <w:tcPr>
            <w:tcW w:w="2251" w:type="dxa"/>
            <w:tcBorders>
              <w:top w:val="single" w:sz="4" w:space="0" w:color="auto"/>
              <w:left w:val="single" w:sz="4" w:space="0" w:color="auto"/>
              <w:bottom w:val="single" w:sz="4" w:space="0" w:color="auto"/>
              <w:right w:val="single" w:sz="4" w:space="0" w:color="auto"/>
            </w:tcBorders>
            <w:hideMark/>
          </w:tcPr>
          <w:p w14:paraId="259EC919" w14:textId="77777777" w:rsidR="00092BA9" w:rsidRPr="00B71AEA" w:rsidRDefault="00092BA9" w:rsidP="00092BA9">
            <w:pPr>
              <w:pStyle w:val="NoSpacing"/>
              <w:rPr>
                <w:b/>
              </w:rPr>
            </w:pPr>
            <w:r w:rsidRPr="00B71AEA">
              <w:rPr>
                <w:b/>
              </w:rPr>
              <w:t>Source/Reference</w:t>
            </w:r>
          </w:p>
        </w:tc>
        <w:tc>
          <w:tcPr>
            <w:tcW w:w="7025" w:type="dxa"/>
            <w:gridSpan w:val="2"/>
            <w:tcBorders>
              <w:top w:val="single" w:sz="4" w:space="0" w:color="auto"/>
              <w:left w:val="single" w:sz="4" w:space="0" w:color="auto"/>
              <w:bottom w:val="single" w:sz="4" w:space="0" w:color="auto"/>
              <w:right w:val="single" w:sz="4" w:space="0" w:color="auto"/>
            </w:tcBorders>
            <w:hideMark/>
          </w:tcPr>
          <w:p w14:paraId="57958591" w14:textId="77777777" w:rsidR="00092BA9" w:rsidRPr="00B71AEA" w:rsidRDefault="00092BA9" w:rsidP="00092BA9">
            <w:pPr>
              <w:pStyle w:val="NoSpacing"/>
              <w:rPr>
                <w:b/>
                <w:bCs/>
                <w:i/>
                <w:color w:val="FF0000"/>
                <w:szCs w:val="24"/>
              </w:rPr>
            </w:pPr>
            <w:r w:rsidRPr="00B71AEA">
              <w:rPr>
                <w:i/>
                <w:color w:val="FF0000"/>
              </w:rPr>
              <w:t>Left empty for coder to add other coding clinics, if applicable. If not needed, please delete.</w:t>
            </w:r>
          </w:p>
        </w:tc>
      </w:tr>
      <w:tr w:rsidR="00092BA9" w14:paraId="3D52C586" w14:textId="77777777" w:rsidTr="00034886">
        <w:trPr>
          <w:trHeight w:val="58"/>
        </w:trPr>
        <w:tc>
          <w:tcPr>
            <w:tcW w:w="2251" w:type="dxa"/>
            <w:tcBorders>
              <w:top w:val="single" w:sz="4" w:space="0" w:color="auto"/>
              <w:left w:val="single" w:sz="4" w:space="0" w:color="auto"/>
              <w:bottom w:val="single" w:sz="4" w:space="0" w:color="auto"/>
              <w:right w:val="single" w:sz="4" w:space="0" w:color="auto"/>
            </w:tcBorders>
            <w:hideMark/>
          </w:tcPr>
          <w:p w14:paraId="7F9458B4" w14:textId="77777777" w:rsidR="00092BA9" w:rsidRPr="00B71AEA" w:rsidRDefault="00092BA9" w:rsidP="00092BA9">
            <w:pPr>
              <w:pStyle w:val="NoSpacing"/>
              <w:rPr>
                <w:b/>
              </w:rPr>
            </w:pPr>
            <w:r w:rsidRPr="00B71AEA">
              <w:rPr>
                <w:b/>
              </w:rPr>
              <w:t>Practice Guideline Recommendation</w:t>
            </w:r>
          </w:p>
        </w:tc>
        <w:tc>
          <w:tcPr>
            <w:tcW w:w="7025" w:type="dxa"/>
            <w:gridSpan w:val="2"/>
            <w:tcBorders>
              <w:top w:val="single" w:sz="4" w:space="0" w:color="auto"/>
              <w:left w:val="single" w:sz="4" w:space="0" w:color="auto"/>
              <w:bottom w:val="single" w:sz="4" w:space="0" w:color="auto"/>
              <w:right w:val="single" w:sz="4" w:space="0" w:color="auto"/>
            </w:tcBorders>
            <w:hideMark/>
          </w:tcPr>
          <w:p w14:paraId="791BDF4F" w14:textId="77777777" w:rsidR="00092BA9" w:rsidRPr="00B71AEA" w:rsidRDefault="00092BA9" w:rsidP="00092BA9">
            <w:pPr>
              <w:pStyle w:val="NoSpacing"/>
              <w:rPr>
                <w:i/>
                <w:color w:val="FF0000"/>
              </w:rPr>
            </w:pPr>
            <w:r w:rsidRPr="00B71AEA">
              <w:rPr>
                <w:i/>
                <w:color w:val="FF0000"/>
              </w:rPr>
              <w:t xml:space="preserve">Left empty for coder </w:t>
            </w:r>
          </w:p>
        </w:tc>
      </w:tr>
      <w:tr w:rsidR="00092BA9" w14:paraId="1D9E27DA" w14:textId="77777777" w:rsidTr="00034886">
        <w:trPr>
          <w:trHeight w:val="58"/>
        </w:trPr>
        <w:tc>
          <w:tcPr>
            <w:tcW w:w="2251" w:type="dxa"/>
            <w:tcBorders>
              <w:top w:val="single" w:sz="4" w:space="0" w:color="auto"/>
              <w:left w:val="single" w:sz="4" w:space="0" w:color="auto"/>
              <w:bottom w:val="single" w:sz="4" w:space="0" w:color="auto"/>
              <w:right w:val="single" w:sz="4" w:space="0" w:color="auto"/>
            </w:tcBorders>
            <w:shd w:val="clear" w:color="auto" w:fill="D9D9D9"/>
          </w:tcPr>
          <w:p w14:paraId="2B7067D8" w14:textId="77777777" w:rsidR="00092BA9" w:rsidRDefault="00092BA9" w:rsidP="00092BA9">
            <w:pPr>
              <w:spacing w:after="0" w:line="240" w:lineRule="auto"/>
              <w:rPr>
                <w:rFonts w:ascii="Times New Roman" w:eastAsia="Calibri" w:hAnsi="Times New Roman" w:cs="Times New Roman"/>
                <w:b/>
                <w:sz w:val="12"/>
                <w:szCs w:val="12"/>
              </w:rPr>
            </w:pPr>
          </w:p>
        </w:tc>
        <w:tc>
          <w:tcPr>
            <w:tcW w:w="7025" w:type="dxa"/>
            <w:gridSpan w:val="2"/>
            <w:tcBorders>
              <w:top w:val="single" w:sz="4" w:space="0" w:color="auto"/>
              <w:left w:val="single" w:sz="4" w:space="0" w:color="auto"/>
              <w:bottom w:val="single" w:sz="4" w:space="0" w:color="auto"/>
              <w:right w:val="single" w:sz="4" w:space="0" w:color="auto"/>
            </w:tcBorders>
            <w:shd w:val="clear" w:color="auto" w:fill="D9D9D9"/>
          </w:tcPr>
          <w:p w14:paraId="124C8BDC" w14:textId="77777777" w:rsidR="00092BA9" w:rsidRDefault="00092BA9" w:rsidP="00092BA9">
            <w:pPr>
              <w:tabs>
                <w:tab w:val="left" w:pos="7182"/>
              </w:tabs>
              <w:spacing w:after="100" w:afterAutospacing="1" w:line="240" w:lineRule="auto"/>
              <w:ind w:right="-810"/>
              <w:rPr>
                <w:rFonts w:ascii="Times New Roman" w:eastAsia="Calibri" w:hAnsi="Times New Roman" w:cs="Times New Roman"/>
                <w:sz w:val="12"/>
                <w:szCs w:val="12"/>
              </w:rPr>
            </w:pPr>
          </w:p>
        </w:tc>
      </w:tr>
      <w:bookmarkEnd w:id="0"/>
    </w:tbl>
    <w:p w14:paraId="4453BE43" w14:textId="77777777" w:rsidR="0026466E" w:rsidRDefault="0026466E" w:rsidP="00B63E8E">
      <w:pPr>
        <w:pStyle w:val="NoSpacing"/>
        <w:jc w:val="center"/>
        <w:rPr>
          <w:b/>
          <w:u w:val="single"/>
        </w:rPr>
      </w:pPr>
    </w:p>
    <w:p w14:paraId="6886E355" w14:textId="77777777" w:rsidR="00163BC5" w:rsidRPr="0099404B" w:rsidRDefault="00163BC5" w:rsidP="00163BC5">
      <w:pPr>
        <w:spacing w:after="0" w:line="240" w:lineRule="auto"/>
        <w:jc w:val="center"/>
        <w:rPr>
          <w:rFonts w:ascii="Times New Roman" w:eastAsia="Calibri" w:hAnsi="Times New Roman" w:cs="Times New Roman"/>
          <w:b/>
          <w:sz w:val="24"/>
        </w:rPr>
      </w:pPr>
      <w:r w:rsidRPr="0099404B">
        <w:rPr>
          <w:rFonts w:ascii="Times New Roman" w:eastAsia="Calibri" w:hAnsi="Times New Roman" w:cs="Times New Roman"/>
          <w:b/>
          <w:sz w:val="24"/>
        </w:rPr>
        <w:t>Conclusion</w:t>
      </w:r>
    </w:p>
    <w:p w14:paraId="19CC2CBE" w14:textId="77777777" w:rsidR="00163BC5" w:rsidRPr="00061DFA" w:rsidRDefault="00163BC5" w:rsidP="00163BC5">
      <w:pPr>
        <w:spacing w:after="0" w:line="240" w:lineRule="auto"/>
        <w:rPr>
          <w:rFonts w:ascii="Times New Roman" w:eastAsia="Calibri" w:hAnsi="Times New Roman" w:cs="Times New Roman"/>
          <w:b/>
          <w:sz w:val="24"/>
        </w:rPr>
      </w:pPr>
    </w:p>
    <w:p w14:paraId="48DD27F9" w14:textId="77777777" w:rsidR="00163BC5" w:rsidRPr="00061DFA" w:rsidRDefault="00163BC5" w:rsidP="00163BC5">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szCs w:val="24"/>
        </w:rPr>
        <w:lastRenderedPageBreak/>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provided medically necessary services to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with the expectation that those services would be reimbursed according to the documentation in all UHDDS communications.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respectfully requests that you reconsider this claim and require payment to be made to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for the services provided to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in this case.</w:t>
      </w:r>
    </w:p>
    <w:p w14:paraId="09AB3A9E" w14:textId="77777777" w:rsidR="00101F6E" w:rsidRPr="00656F4A" w:rsidRDefault="00101F6E" w:rsidP="008A60D7">
      <w:pPr>
        <w:pStyle w:val="NoSpacing"/>
      </w:pPr>
    </w:p>
    <w:p w14:paraId="08F486F5" w14:textId="77777777" w:rsidR="00423446" w:rsidRDefault="00423446" w:rsidP="008A60D7">
      <w:pPr>
        <w:pStyle w:val="NoSpacing"/>
      </w:pPr>
      <w:r w:rsidRPr="00656F4A">
        <w:t>I appreciate your attention to this matter and invite you to contact me should you have any questions.</w:t>
      </w:r>
    </w:p>
    <w:p w14:paraId="27EA2A64" w14:textId="77777777" w:rsidR="00101F6E" w:rsidRPr="00656F4A" w:rsidRDefault="00101F6E" w:rsidP="008A60D7">
      <w:pPr>
        <w:pStyle w:val="NoSpacing"/>
      </w:pPr>
    </w:p>
    <w:p w14:paraId="5D68F972" w14:textId="77777777" w:rsidR="00471D82" w:rsidRDefault="00471D82" w:rsidP="008A60D7">
      <w:pPr>
        <w:pStyle w:val="NoSpacing"/>
      </w:pPr>
      <w:r>
        <w:t>Respectfully,</w:t>
      </w:r>
    </w:p>
    <w:p w14:paraId="1F367052" w14:textId="77777777" w:rsidR="00471D82" w:rsidRDefault="00471D82" w:rsidP="008A60D7">
      <w:pPr>
        <w:pStyle w:val="NoSpacing"/>
        <w:rPr>
          <w:noProof/>
        </w:rPr>
      </w:pPr>
    </w:p>
    <w:p w14:paraId="067FAE78" w14:textId="77777777" w:rsidR="00471D82" w:rsidRDefault="00471D82" w:rsidP="008A60D7">
      <w:pPr>
        <w:pStyle w:val="NoSpacing"/>
        <w:rPr>
          <w:noProof/>
        </w:rPr>
      </w:pPr>
      <w:r>
        <w:rPr>
          <w:noProof/>
        </w:rPr>
        <w:t>Image_Signature</w:t>
      </w:r>
    </w:p>
    <w:p w14:paraId="6B54D94E" w14:textId="77777777" w:rsidR="00471D82" w:rsidRDefault="00471D82" w:rsidP="008A60D7">
      <w:pPr>
        <w:pStyle w:val="NoSpacing"/>
        <w:rPr>
          <w:color w:val="1F497D"/>
          <w:sz w:val="18"/>
          <w:szCs w:val="18"/>
        </w:rPr>
      </w:pPr>
    </w:p>
    <w:p w14:paraId="31216984" w14:textId="77777777" w:rsidR="00471D82" w:rsidRDefault="003A1F3C" w:rsidP="008A60D7">
      <w:pPr>
        <w:pStyle w:val="NoSpacing"/>
      </w:pPr>
      <w:fldSimple w:instr=" MERGEFIELD  Facility_Signature ">
        <w:r w:rsidR="00471D82">
          <w:rPr>
            <w:noProof/>
          </w:rPr>
          <w:t>«Facility_Signature»</w:t>
        </w:r>
      </w:fldSimple>
    </w:p>
    <w:p w14:paraId="69D9C13F" w14:textId="77777777" w:rsidR="00471D82" w:rsidRDefault="00471D82" w:rsidP="008A60D7">
      <w:pPr>
        <w:pStyle w:val="NoSpacing"/>
      </w:pPr>
    </w:p>
    <w:p w14:paraId="61D774FC" w14:textId="77777777" w:rsidR="001939B7" w:rsidRDefault="001939B7" w:rsidP="008A60D7">
      <w:pPr>
        <w:pStyle w:val="NoSpacing"/>
      </w:pPr>
      <w:r>
        <w:t>Submitted with the authority of the Provider,</w:t>
      </w:r>
    </w:p>
    <w:p w14:paraId="21AFE55B" w14:textId="77777777" w:rsidR="00666AC8" w:rsidRDefault="00666AC8" w:rsidP="008A60D7">
      <w:pPr>
        <w:pStyle w:val="NoSpacing"/>
        <w:rPr>
          <w:color w:val="000000"/>
        </w:rPr>
      </w:pPr>
    </w:p>
    <w:p w14:paraId="73FE868F" w14:textId="77777777" w:rsidR="00EB4A68" w:rsidRPr="00247AE4" w:rsidRDefault="00EB4A68" w:rsidP="008A60D7">
      <w:pPr>
        <w:pStyle w:val="NoSpacing"/>
        <w:rPr>
          <w:b/>
          <w:bCs/>
        </w:rPr>
      </w:pPr>
      <w:r w:rsidRPr="00247AE4">
        <w:rPr>
          <w:b/>
          <w:bCs/>
        </w:rPr>
        <w:t>Please return all correspondence to:</w:t>
      </w:r>
    </w:p>
    <w:p w14:paraId="067D0620" w14:textId="77777777" w:rsidR="00AB21D6" w:rsidRDefault="00AB21D6" w:rsidP="008A60D7">
      <w:pPr>
        <w:pStyle w:val="NoSpacing"/>
      </w:pPr>
    </w:p>
    <w:p w14:paraId="0560BBF1" w14:textId="77777777" w:rsidR="006C2BB2" w:rsidRDefault="00A918FB" w:rsidP="008A60D7">
      <w:pPr>
        <w:pStyle w:val="NoSpacing"/>
      </w:pPr>
      <w:r>
        <w:fldChar w:fldCharType="begin"/>
      </w:r>
      <w:r w:rsidR="006C2BB2">
        <w:instrText xml:space="preserve"> MERGEFIELD </w:instrText>
      </w:r>
      <w:r w:rsidR="006C2BB2">
        <w:rPr>
          <w:rFonts w:ascii="Calibri,Bold" w:hAnsi="Calibri,Bold" w:cs="Calibri,Bold"/>
          <w:bCs/>
          <w:sz w:val="22"/>
        </w:rPr>
        <w:instrText>Facility_Description</w:instrText>
      </w:r>
      <w:r w:rsidR="006C2BB2">
        <w:instrText xml:space="preserve"> </w:instrText>
      </w:r>
      <w:r>
        <w:fldChar w:fldCharType="separate"/>
      </w:r>
      <w:r w:rsidR="006C2BB2">
        <w:rPr>
          <w:noProof/>
        </w:rPr>
        <w:t>«Facility_Description»</w:t>
      </w:r>
      <w:r>
        <w:fldChar w:fldCharType="end"/>
      </w:r>
    </w:p>
    <w:p w14:paraId="6B16B682" w14:textId="77777777" w:rsidR="00B63932" w:rsidRDefault="00B63932" w:rsidP="008A60D7">
      <w:pPr>
        <w:pStyle w:val="NoSpacing"/>
      </w:pPr>
    </w:p>
    <w:p w14:paraId="61648EA3" w14:textId="77777777" w:rsidR="00021E6E" w:rsidRPr="00846560" w:rsidRDefault="00021E6E" w:rsidP="008A60D7">
      <w:pPr>
        <w:pStyle w:val="NoSpacing"/>
      </w:pPr>
      <w:r w:rsidRPr="00846560">
        <w:t xml:space="preserve">NPI: </w:t>
      </w:r>
      <w:r w:rsidR="00A918FB" w:rsidRPr="00846560">
        <w:fldChar w:fldCharType="begin"/>
      </w:r>
      <w:r w:rsidRPr="00846560">
        <w:instrText xml:space="preserve"> MERGEFIELD </w:instrText>
      </w:r>
      <w:r w:rsidRPr="00846560">
        <w:rPr>
          <w:bCs/>
          <w:lang w:bidi="en-US"/>
        </w:rPr>
        <w:instrText>Facility_NPI</w:instrText>
      </w:r>
      <w:r w:rsidRPr="00846560">
        <w:instrText xml:space="preserve"> </w:instrText>
      </w:r>
      <w:r w:rsidR="00A918FB" w:rsidRPr="00846560">
        <w:fldChar w:fldCharType="separate"/>
      </w:r>
      <w:r>
        <w:rPr>
          <w:noProof/>
        </w:rPr>
        <w:t>«Facility_NPI»</w:t>
      </w:r>
      <w:r w:rsidR="00A918FB" w:rsidRPr="00846560">
        <w:fldChar w:fldCharType="end"/>
      </w:r>
    </w:p>
    <w:p w14:paraId="69C0F554" w14:textId="77777777" w:rsidR="00021E6E" w:rsidRPr="00846560" w:rsidRDefault="00021E6E" w:rsidP="008A60D7">
      <w:pPr>
        <w:pStyle w:val="NoSpacing"/>
      </w:pPr>
      <w:r w:rsidRPr="00846560">
        <w:t xml:space="preserve">Tax ID: </w:t>
      </w:r>
      <w:r w:rsidR="00A918FB" w:rsidRPr="00846560">
        <w:fldChar w:fldCharType="begin"/>
      </w:r>
      <w:r w:rsidRPr="00846560">
        <w:instrText xml:space="preserve"> MERGEFIELD </w:instrText>
      </w:r>
      <w:r w:rsidRPr="00846560">
        <w:rPr>
          <w:rFonts w:cs="Calibri"/>
          <w:bCs/>
          <w:lang w:bidi="en-US"/>
        </w:rPr>
        <w:instrText>Facility_Tax_ID</w:instrText>
      </w:r>
      <w:r w:rsidRPr="00846560">
        <w:instrText xml:space="preserve"> </w:instrText>
      </w:r>
      <w:r w:rsidR="00A918FB" w:rsidRPr="00846560">
        <w:fldChar w:fldCharType="separate"/>
      </w:r>
      <w:r>
        <w:rPr>
          <w:noProof/>
        </w:rPr>
        <w:t>«Facility_Tax_ID»</w:t>
      </w:r>
      <w:r w:rsidR="00A918FB" w:rsidRPr="00846560">
        <w:fldChar w:fldCharType="end"/>
      </w:r>
    </w:p>
    <w:p w14:paraId="2A9089DC" w14:textId="77777777" w:rsidR="00616B24" w:rsidRDefault="00616B24" w:rsidP="008A60D7">
      <w:pPr>
        <w:pStyle w:val="NoSpacing"/>
      </w:pPr>
      <w:r>
        <w:t>PTAN:</w:t>
      </w:r>
      <w:r w:rsidRPr="00A51253">
        <w:t xml:space="preserve"> </w:t>
      </w:r>
      <w:r w:rsidR="00A918FB">
        <w:fldChar w:fldCharType="begin"/>
      </w:r>
      <w:r>
        <w:instrText xml:space="preserve"> MERGEFIELD  PTAN </w:instrText>
      </w:r>
      <w:r w:rsidR="00A918FB">
        <w:fldChar w:fldCharType="separate"/>
      </w:r>
      <w:r>
        <w:rPr>
          <w:noProof/>
        </w:rPr>
        <w:t>«PTAN»</w:t>
      </w:r>
      <w:r w:rsidR="00A918FB">
        <w:fldChar w:fldCharType="end"/>
      </w:r>
    </w:p>
    <w:p w14:paraId="06057772" w14:textId="77777777" w:rsidR="00F111C6" w:rsidRPr="00FA34CA" w:rsidRDefault="00A918FB" w:rsidP="008A60D7">
      <w:pPr>
        <w:pStyle w:val="NoSpacing"/>
      </w:pPr>
      <w:r w:rsidRPr="00FA34CA">
        <w:fldChar w:fldCharType="begin"/>
      </w:r>
      <w:r w:rsidR="00BE31A3" w:rsidRPr="00FA34CA">
        <w:instrText xml:space="preserve"> MERGEFIELD TableEnd:PATIENTINFO </w:instrText>
      </w:r>
      <w:r w:rsidRPr="00FA34CA">
        <w:fldChar w:fldCharType="separate"/>
      </w:r>
      <w:r w:rsidR="00BE31A3" w:rsidRPr="00FA34CA">
        <w:rPr>
          <w:noProof/>
        </w:rPr>
        <w:t>«TableEnd:PATIENTINFO»</w:t>
      </w:r>
      <w:r w:rsidRPr="00FA34CA">
        <w:fldChar w:fldCharType="end"/>
      </w:r>
    </w:p>
    <w:sectPr w:rsidR="00F111C6" w:rsidRPr="00FA34CA" w:rsidSect="00251F30">
      <w:footerReference w:type="default" r:id="rId8"/>
      <w:footerReference w:type="first" r:id="rId9"/>
      <w:pgSz w:w="12240" w:h="15840" w:code="1"/>
      <w:pgMar w:top="1800" w:right="1440" w:bottom="9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C115" w14:textId="77777777" w:rsidR="00A871E8" w:rsidRDefault="00A871E8" w:rsidP="00A66584">
      <w:r>
        <w:separator/>
      </w:r>
    </w:p>
  </w:endnote>
  <w:endnote w:type="continuationSeparator" w:id="0">
    <w:p w14:paraId="649E4C42" w14:textId="77777777" w:rsidR="00A871E8" w:rsidRDefault="00A871E8"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144D" w14:textId="77777777" w:rsidR="00473EEC" w:rsidRPr="00D87A2A" w:rsidRDefault="00473EEC">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A65ABD">
      <w:rPr>
        <w:rFonts w:ascii="Times New Roman" w:hAnsi="Times New Roman"/>
        <w:noProof/>
        <w:sz w:val="24"/>
        <w:szCs w:val="24"/>
      </w:rPr>
      <w:t>12</w:t>
    </w:r>
    <w:r w:rsidRPr="00D87A2A">
      <w:rPr>
        <w:rFonts w:ascii="Times New Roman" w:hAnsi="Times New Roman"/>
        <w:noProof/>
        <w:sz w:val="24"/>
        <w:szCs w:val="24"/>
      </w:rPr>
      <w:fldChar w:fldCharType="end"/>
    </w:r>
  </w:p>
  <w:p w14:paraId="1BD5ED8E" w14:textId="4A04BD89" w:rsidR="00473EEC" w:rsidRPr="00251F30" w:rsidRDefault="00251F30" w:rsidP="00251F30">
    <w:pPr>
      <w:tabs>
        <w:tab w:val="center" w:pos="4680"/>
        <w:tab w:val="right" w:pos="9360"/>
      </w:tabs>
      <w:spacing w:after="0" w:line="240" w:lineRule="auto"/>
      <w:rPr>
        <w:rFonts w:ascii="Times New Roman" w:eastAsia="Calibri" w:hAnsi="Times New Roman" w:cs="Times New Roman"/>
        <w:sz w:val="24"/>
        <w:szCs w:val="24"/>
      </w:rPr>
    </w:pPr>
    <w:r w:rsidRPr="00251F30">
      <w:rPr>
        <w:rFonts w:ascii="Times New Roman" w:eastAsia="Calibri" w:hAnsi="Times New Roman" w:cs="Times New Roman"/>
        <w:sz w:val="24"/>
        <w:szCs w:val="24"/>
      </w:rPr>
      <w:fldChar w:fldCharType="begin"/>
    </w:r>
    <w:r w:rsidRPr="00251F30">
      <w:rPr>
        <w:rFonts w:ascii="Times New Roman" w:eastAsia="Calibri" w:hAnsi="Times New Roman" w:cs="Times New Roman"/>
        <w:sz w:val="24"/>
        <w:szCs w:val="24"/>
      </w:rPr>
      <w:instrText>MERGEFIELD TableStart:PATIENTINFO</w:instrText>
    </w:r>
    <w:r w:rsidRPr="00251F30">
      <w:rPr>
        <w:rFonts w:ascii="Times New Roman" w:eastAsia="Calibri" w:hAnsi="Times New Roman" w:cs="Times New Roman"/>
        <w:sz w:val="24"/>
        <w:szCs w:val="24"/>
      </w:rPr>
      <w:fldChar w:fldCharType="separate"/>
    </w:r>
    <w:r w:rsidRPr="00251F30">
      <w:rPr>
        <w:rFonts w:ascii="Times New Roman" w:eastAsia="Calibri" w:hAnsi="Times New Roman" w:cs="Times New Roman"/>
        <w:sz w:val="24"/>
        <w:szCs w:val="24"/>
      </w:rPr>
      <w:t>«</w:t>
    </w:r>
    <w:proofErr w:type="spellStart"/>
    <w:r w:rsidRPr="00251F30">
      <w:rPr>
        <w:rFonts w:ascii="Times New Roman" w:eastAsia="Calibri" w:hAnsi="Times New Roman" w:cs="Times New Roman"/>
        <w:sz w:val="24"/>
        <w:szCs w:val="24"/>
      </w:rPr>
      <w:t>TableStart:PATIENTINFO</w:t>
    </w:r>
    <w:proofErr w:type="spellEnd"/>
    <w:r w:rsidRPr="00251F30">
      <w:rPr>
        <w:rFonts w:ascii="Times New Roman" w:eastAsia="Calibri" w:hAnsi="Times New Roman" w:cs="Times New Roman"/>
        <w:sz w:val="24"/>
        <w:szCs w:val="24"/>
      </w:rPr>
      <w:t>»</w:t>
    </w:r>
    <w:r w:rsidRPr="00251F30">
      <w:rPr>
        <w:rFonts w:ascii="Times New Roman" w:eastAsia="Calibri" w:hAnsi="Times New Roman" w:cs="Times New Roman"/>
        <w:sz w:val="24"/>
        <w:szCs w:val="24"/>
      </w:rPr>
      <w:fldChar w:fldCharType="end"/>
    </w:r>
    <w:r w:rsidRPr="00251F30">
      <w:rPr>
        <w:rFonts w:ascii="Times New Roman" w:eastAsia="Calibri" w:hAnsi="Times New Roman" w:cs="Times New Roman"/>
        <w:sz w:val="24"/>
        <w:szCs w:val="24"/>
      </w:rPr>
      <w:fldChar w:fldCharType="begin"/>
    </w:r>
    <w:r w:rsidRPr="00251F30">
      <w:rPr>
        <w:rFonts w:ascii="Times New Roman" w:eastAsia="Calibri" w:hAnsi="Times New Roman" w:cs="Times New Roman"/>
        <w:sz w:val="24"/>
        <w:szCs w:val="24"/>
      </w:rPr>
      <w:instrText>MERGEFIELD Current_Level</w:instrText>
    </w:r>
    <w:r w:rsidRPr="00251F30">
      <w:rPr>
        <w:rFonts w:ascii="Times New Roman" w:eastAsia="Calibri" w:hAnsi="Times New Roman" w:cs="Times New Roman"/>
        <w:sz w:val="24"/>
        <w:szCs w:val="24"/>
      </w:rPr>
      <w:fldChar w:fldCharType="separate"/>
    </w:r>
    <w:r w:rsidRPr="00251F30">
      <w:rPr>
        <w:rFonts w:ascii="Times New Roman" w:eastAsia="Calibri" w:hAnsi="Times New Roman" w:cs="Times New Roman"/>
        <w:sz w:val="24"/>
        <w:szCs w:val="24"/>
      </w:rPr>
      <w:t>«</w:t>
    </w:r>
    <w:proofErr w:type="spellStart"/>
    <w:r w:rsidRPr="00251F30">
      <w:rPr>
        <w:rFonts w:ascii="Times New Roman" w:eastAsia="Calibri" w:hAnsi="Times New Roman" w:cs="Times New Roman"/>
        <w:sz w:val="24"/>
        <w:szCs w:val="24"/>
      </w:rPr>
      <w:t>Current_Level</w:t>
    </w:r>
    <w:proofErr w:type="spellEnd"/>
    <w:r w:rsidRPr="00251F30">
      <w:rPr>
        <w:rFonts w:ascii="Times New Roman" w:eastAsia="Calibri" w:hAnsi="Times New Roman" w:cs="Times New Roman"/>
        <w:sz w:val="24"/>
        <w:szCs w:val="24"/>
      </w:rPr>
      <w:t>»</w:t>
    </w:r>
    <w:r w:rsidRPr="00251F30">
      <w:rPr>
        <w:rFonts w:ascii="Times New Roman" w:eastAsia="Calibri" w:hAnsi="Times New Roman" w:cs="Times New Roman"/>
        <w:sz w:val="24"/>
        <w:szCs w:val="24"/>
      </w:rPr>
      <w:fldChar w:fldCharType="end"/>
    </w:r>
    <w:r w:rsidRPr="00251F30">
      <w:rPr>
        <w:rFonts w:ascii="Times New Roman" w:eastAsia="Calibri" w:hAnsi="Times New Roman" w:cs="Times New Roman"/>
        <w:sz w:val="24"/>
        <w:szCs w:val="24"/>
      </w:rPr>
      <w:t xml:space="preserve"> - </w:t>
    </w:r>
    <w:r w:rsidRPr="00251F30">
      <w:rPr>
        <w:rFonts w:ascii="Times New Roman" w:eastAsia="Calibri" w:hAnsi="Times New Roman" w:cs="Times New Roman"/>
        <w:sz w:val="24"/>
        <w:szCs w:val="24"/>
      </w:rPr>
      <w:fldChar w:fldCharType="begin"/>
    </w:r>
    <w:r w:rsidRPr="00251F30">
      <w:rPr>
        <w:rFonts w:ascii="Times New Roman" w:eastAsia="Calibri" w:hAnsi="Times New Roman" w:cs="Times New Roman"/>
        <w:sz w:val="24"/>
        <w:szCs w:val="24"/>
      </w:rPr>
      <w:instrText>MERGEFIELD PCN</w:instrText>
    </w:r>
    <w:r w:rsidRPr="00251F30">
      <w:rPr>
        <w:rFonts w:ascii="Times New Roman" w:eastAsia="Calibri" w:hAnsi="Times New Roman" w:cs="Times New Roman"/>
        <w:sz w:val="24"/>
        <w:szCs w:val="24"/>
      </w:rPr>
      <w:fldChar w:fldCharType="separate"/>
    </w:r>
    <w:r w:rsidRPr="00251F30">
      <w:rPr>
        <w:rFonts w:ascii="Times New Roman" w:eastAsia="Calibri" w:hAnsi="Times New Roman" w:cs="Times New Roman"/>
        <w:sz w:val="24"/>
        <w:szCs w:val="24"/>
      </w:rPr>
      <w:t>«PCN»</w:t>
    </w:r>
    <w:r w:rsidRPr="00251F30">
      <w:rPr>
        <w:rFonts w:ascii="Times New Roman" w:eastAsia="Calibri" w:hAnsi="Times New Roman" w:cs="Times New Roman"/>
        <w:sz w:val="24"/>
        <w:szCs w:val="24"/>
      </w:rPr>
      <w:fldChar w:fldCharType="end"/>
    </w:r>
    <w:r w:rsidRPr="00251F30">
      <w:rPr>
        <w:rFonts w:ascii="Times New Roman" w:eastAsia="Calibri" w:hAnsi="Times New Roman" w:cs="Times New Roman"/>
        <w:sz w:val="24"/>
        <w:szCs w:val="24"/>
      </w:rPr>
      <w:fldChar w:fldCharType="begin"/>
    </w:r>
    <w:r w:rsidRPr="00251F30">
      <w:rPr>
        <w:rFonts w:ascii="Times New Roman" w:eastAsia="Calibri" w:hAnsi="Times New Roman" w:cs="Times New Roman"/>
        <w:sz w:val="24"/>
        <w:szCs w:val="24"/>
      </w:rPr>
      <w:instrText>MERGEFIELD TableEnd:PATIENTINFO</w:instrText>
    </w:r>
    <w:r w:rsidRPr="00251F30">
      <w:rPr>
        <w:rFonts w:ascii="Times New Roman" w:eastAsia="Calibri" w:hAnsi="Times New Roman" w:cs="Times New Roman"/>
        <w:sz w:val="24"/>
        <w:szCs w:val="24"/>
      </w:rPr>
      <w:fldChar w:fldCharType="separate"/>
    </w:r>
    <w:r w:rsidRPr="00251F30">
      <w:rPr>
        <w:rFonts w:ascii="Times New Roman" w:eastAsia="Calibri" w:hAnsi="Times New Roman" w:cs="Times New Roman"/>
        <w:sz w:val="24"/>
        <w:szCs w:val="24"/>
      </w:rPr>
      <w:t>«</w:t>
    </w:r>
    <w:proofErr w:type="spellStart"/>
    <w:r w:rsidRPr="00251F30">
      <w:rPr>
        <w:rFonts w:ascii="Times New Roman" w:eastAsia="Calibri" w:hAnsi="Times New Roman" w:cs="Times New Roman"/>
        <w:sz w:val="24"/>
        <w:szCs w:val="24"/>
      </w:rPr>
      <w:t>TableEnd:PATIENTINFO</w:t>
    </w:r>
    <w:proofErr w:type="spellEnd"/>
    <w:r w:rsidRPr="00251F30">
      <w:rPr>
        <w:rFonts w:ascii="Times New Roman" w:eastAsia="Calibri" w:hAnsi="Times New Roman" w:cs="Times New Roman"/>
        <w:sz w:val="24"/>
        <w:szCs w:val="24"/>
      </w:rPr>
      <w:t>»</w:t>
    </w:r>
    <w:r w:rsidRPr="00251F30">
      <w:rPr>
        <w:rFonts w:ascii="Times New Roman" w:eastAsia="Calibri"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D5B9" w14:textId="77777777" w:rsidR="00473EEC" w:rsidRPr="00D87A2A" w:rsidRDefault="00473EEC">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A65ABD">
      <w:rPr>
        <w:rFonts w:ascii="Times New Roman" w:hAnsi="Times New Roman"/>
        <w:noProof/>
        <w:sz w:val="24"/>
        <w:szCs w:val="24"/>
      </w:rPr>
      <w:t>1</w:t>
    </w:r>
    <w:r w:rsidRPr="00D87A2A">
      <w:rPr>
        <w:rFonts w:ascii="Times New Roman" w:hAnsi="Times New Roman"/>
        <w:noProof/>
        <w:sz w:val="24"/>
        <w:szCs w:val="24"/>
      </w:rPr>
      <w:fldChar w:fldCharType="end"/>
    </w:r>
  </w:p>
  <w:p w14:paraId="473E5ADD" w14:textId="7BF1713A" w:rsidR="00473EEC" w:rsidRDefault="00473EEC" w:rsidP="00163BC5">
    <w:pPr>
      <w:pStyle w:val="Header"/>
    </w:pP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TableStart:PATIENTINFO </w:instrText>
    </w:r>
    <w:r w:rsidRPr="00DA21E9">
      <w:rPr>
        <w:rFonts w:ascii="Times New Roman" w:hAnsi="Times New Roman"/>
        <w:sz w:val="24"/>
        <w:szCs w:val="24"/>
      </w:rPr>
      <w:fldChar w:fldCharType="separate"/>
    </w:r>
    <w:r w:rsidRPr="00DA21E9">
      <w:rPr>
        <w:rFonts w:ascii="Times New Roman" w:hAnsi="Times New Roman"/>
        <w:noProof/>
        <w:sz w:val="24"/>
        <w:szCs w:val="24"/>
      </w:rPr>
      <w:t>«TableStart:PATIENTINFO»</w:t>
    </w:r>
    <w:r w:rsidRPr="00DA21E9">
      <w:rPr>
        <w:rFonts w:ascii="Times New Roman" w:hAnsi="Times New Roman"/>
        <w:sz w:val="24"/>
        <w:szCs w:val="24"/>
      </w:rPr>
      <w:fldChar w:fldCharType="end"/>
    </w: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PCN </w:instrText>
    </w:r>
    <w:r w:rsidRPr="00DA21E9">
      <w:rPr>
        <w:rFonts w:ascii="Times New Roman" w:hAnsi="Times New Roman"/>
        <w:sz w:val="24"/>
        <w:szCs w:val="24"/>
      </w:rPr>
      <w:fldChar w:fldCharType="separate"/>
    </w:r>
    <w:r w:rsidRPr="00DA21E9">
      <w:rPr>
        <w:rFonts w:ascii="Times New Roman" w:hAnsi="Times New Roman"/>
        <w:noProof/>
        <w:sz w:val="24"/>
        <w:szCs w:val="24"/>
      </w:rPr>
      <w:t>«PCN»</w:t>
    </w:r>
    <w:r w:rsidRPr="00DA21E9">
      <w:rPr>
        <w:rFonts w:ascii="Times New Roman" w:hAnsi="Times New Roman"/>
        <w:sz w:val="24"/>
        <w:szCs w:val="24"/>
      </w:rPr>
      <w:fldChar w:fldCharType="end"/>
    </w:r>
    <w:r w:rsidRPr="00DA21E9">
      <w:rPr>
        <w:rFonts w:ascii="Times New Roman" w:hAnsi="Times New Roman"/>
        <w:sz w:val="24"/>
        <w:szCs w:val="24"/>
      </w:rPr>
      <w:t xml:space="preserve"> </w:t>
    </w: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TableEnd:PATIENTINFO </w:instrText>
    </w:r>
    <w:r w:rsidRPr="00DA21E9">
      <w:rPr>
        <w:rFonts w:ascii="Times New Roman" w:hAnsi="Times New Roman"/>
        <w:sz w:val="24"/>
        <w:szCs w:val="24"/>
      </w:rPr>
      <w:fldChar w:fldCharType="separate"/>
    </w:r>
    <w:r w:rsidRPr="00DA21E9">
      <w:rPr>
        <w:rFonts w:ascii="Times New Roman" w:hAnsi="Times New Roman"/>
        <w:noProof/>
        <w:sz w:val="24"/>
        <w:szCs w:val="24"/>
      </w:rPr>
      <w:t>«TableEnd:PATIENTINFO»</w:t>
    </w:r>
    <w:r w:rsidRPr="00DA21E9">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C8A" w14:textId="77777777" w:rsidR="00A871E8" w:rsidRDefault="00A871E8" w:rsidP="00A66584">
      <w:r>
        <w:separator/>
      </w:r>
    </w:p>
  </w:footnote>
  <w:footnote w:type="continuationSeparator" w:id="0">
    <w:p w14:paraId="1EC46172" w14:textId="77777777" w:rsidR="00A871E8" w:rsidRDefault="00A871E8"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7DC6"/>
    <w:multiLevelType w:val="hybridMultilevel"/>
    <w:tmpl w:val="E68E7B82"/>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1" w15:restartNumberingAfterBreak="0">
    <w:nsid w:val="1FF06D3D"/>
    <w:multiLevelType w:val="hybridMultilevel"/>
    <w:tmpl w:val="DB4C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66CC6"/>
    <w:multiLevelType w:val="hybridMultilevel"/>
    <w:tmpl w:val="89A6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685001"/>
    <w:multiLevelType w:val="hybridMultilevel"/>
    <w:tmpl w:val="1EF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F64"/>
    <w:multiLevelType w:val="hybridMultilevel"/>
    <w:tmpl w:val="5D74AE50"/>
    <w:lvl w:ilvl="0" w:tplc="9D820F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D17EF"/>
    <w:multiLevelType w:val="hybridMultilevel"/>
    <w:tmpl w:val="497A2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AD1623"/>
    <w:multiLevelType w:val="hybridMultilevel"/>
    <w:tmpl w:val="EEA8374A"/>
    <w:lvl w:ilvl="0" w:tplc="6B94855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05A55"/>
    <w:multiLevelType w:val="hybridMultilevel"/>
    <w:tmpl w:val="8A9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0563B"/>
    <w:multiLevelType w:val="hybridMultilevel"/>
    <w:tmpl w:val="CA9C5E1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78C27E3D"/>
    <w:multiLevelType w:val="hybridMultilevel"/>
    <w:tmpl w:val="8E70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052438">
    <w:abstractNumId w:val="1"/>
  </w:num>
  <w:num w:numId="2" w16cid:durableId="1992713204">
    <w:abstractNumId w:val="7"/>
  </w:num>
  <w:num w:numId="3" w16cid:durableId="1038319447">
    <w:abstractNumId w:val="9"/>
  </w:num>
  <w:num w:numId="4" w16cid:durableId="101461641">
    <w:abstractNumId w:val="5"/>
  </w:num>
  <w:num w:numId="5" w16cid:durableId="1827437298">
    <w:abstractNumId w:val="2"/>
  </w:num>
  <w:num w:numId="6" w16cid:durableId="10762609">
    <w:abstractNumId w:val="8"/>
  </w:num>
  <w:num w:numId="7" w16cid:durableId="1542791804">
    <w:abstractNumId w:val="0"/>
  </w:num>
  <w:num w:numId="8" w16cid:durableId="852570857">
    <w:abstractNumId w:val="6"/>
  </w:num>
  <w:num w:numId="9" w16cid:durableId="1246110669">
    <w:abstractNumId w:val="4"/>
  </w:num>
  <w:num w:numId="10" w16cid:durableId="21233734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69A3"/>
    <w:rsid w:val="000173FE"/>
    <w:rsid w:val="00017B92"/>
    <w:rsid w:val="00021E6E"/>
    <w:rsid w:val="00024CFF"/>
    <w:rsid w:val="000260E0"/>
    <w:rsid w:val="00031122"/>
    <w:rsid w:val="00031D0D"/>
    <w:rsid w:val="00034283"/>
    <w:rsid w:val="0003448B"/>
    <w:rsid w:val="00034886"/>
    <w:rsid w:val="00037F6C"/>
    <w:rsid w:val="000412D6"/>
    <w:rsid w:val="00042296"/>
    <w:rsid w:val="000442A1"/>
    <w:rsid w:val="00044777"/>
    <w:rsid w:val="00046A51"/>
    <w:rsid w:val="00046DAD"/>
    <w:rsid w:val="000473B3"/>
    <w:rsid w:val="00047F1F"/>
    <w:rsid w:val="000508DF"/>
    <w:rsid w:val="00050D77"/>
    <w:rsid w:val="00052577"/>
    <w:rsid w:val="00056854"/>
    <w:rsid w:val="00067064"/>
    <w:rsid w:val="00067875"/>
    <w:rsid w:val="0007006D"/>
    <w:rsid w:val="000700F2"/>
    <w:rsid w:val="00070430"/>
    <w:rsid w:val="00072DE0"/>
    <w:rsid w:val="000735BB"/>
    <w:rsid w:val="00073872"/>
    <w:rsid w:val="00076EFD"/>
    <w:rsid w:val="00077335"/>
    <w:rsid w:val="00080869"/>
    <w:rsid w:val="00080F3C"/>
    <w:rsid w:val="000810EF"/>
    <w:rsid w:val="00091C0D"/>
    <w:rsid w:val="00092BA9"/>
    <w:rsid w:val="000A0224"/>
    <w:rsid w:val="000A0671"/>
    <w:rsid w:val="000A0FD8"/>
    <w:rsid w:val="000A65B1"/>
    <w:rsid w:val="000A66D9"/>
    <w:rsid w:val="000B0615"/>
    <w:rsid w:val="000B0B3E"/>
    <w:rsid w:val="000B1039"/>
    <w:rsid w:val="000B35F9"/>
    <w:rsid w:val="000B6F6D"/>
    <w:rsid w:val="000C0103"/>
    <w:rsid w:val="000C3B80"/>
    <w:rsid w:val="000C5632"/>
    <w:rsid w:val="000D5E0A"/>
    <w:rsid w:val="000E412B"/>
    <w:rsid w:val="000F286C"/>
    <w:rsid w:val="000F2A86"/>
    <w:rsid w:val="000F37F0"/>
    <w:rsid w:val="001009AD"/>
    <w:rsid w:val="00101F6E"/>
    <w:rsid w:val="001118DA"/>
    <w:rsid w:val="00111C46"/>
    <w:rsid w:val="001202B3"/>
    <w:rsid w:val="001211C0"/>
    <w:rsid w:val="00127814"/>
    <w:rsid w:val="001374CC"/>
    <w:rsid w:val="00140537"/>
    <w:rsid w:val="00141385"/>
    <w:rsid w:val="001436D6"/>
    <w:rsid w:val="00150A5C"/>
    <w:rsid w:val="001516EA"/>
    <w:rsid w:val="0015178E"/>
    <w:rsid w:val="00154035"/>
    <w:rsid w:val="001547F3"/>
    <w:rsid w:val="001554FD"/>
    <w:rsid w:val="001601A0"/>
    <w:rsid w:val="00161540"/>
    <w:rsid w:val="00163BC5"/>
    <w:rsid w:val="00164CD9"/>
    <w:rsid w:val="001661DE"/>
    <w:rsid w:val="001678A7"/>
    <w:rsid w:val="00172B28"/>
    <w:rsid w:val="00172C05"/>
    <w:rsid w:val="00181907"/>
    <w:rsid w:val="001825C3"/>
    <w:rsid w:val="00182AF3"/>
    <w:rsid w:val="00185649"/>
    <w:rsid w:val="00190EB6"/>
    <w:rsid w:val="001939B7"/>
    <w:rsid w:val="00194EDF"/>
    <w:rsid w:val="00195D56"/>
    <w:rsid w:val="00197A73"/>
    <w:rsid w:val="001A1690"/>
    <w:rsid w:val="001A3F9A"/>
    <w:rsid w:val="001A5CE6"/>
    <w:rsid w:val="001A6472"/>
    <w:rsid w:val="001A6485"/>
    <w:rsid w:val="001A7DE4"/>
    <w:rsid w:val="001B26C3"/>
    <w:rsid w:val="001B5556"/>
    <w:rsid w:val="001C67C0"/>
    <w:rsid w:val="001C7BE5"/>
    <w:rsid w:val="001D0713"/>
    <w:rsid w:val="001D33F3"/>
    <w:rsid w:val="001D5BD3"/>
    <w:rsid w:val="001D64DC"/>
    <w:rsid w:val="001E03AD"/>
    <w:rsid w:val="001E156E"/>
    <w:rsid w:val="001E50B7"/>
    <w:rsid w:val="001F682B"/>
    <w:rsid w:val="002009B7"/>
    <w:rsid w:val="0020260D"/>
    <w:rsid w:val="002058EC"/>
    <w:rsid w:val="0020695F"/>
    <w:rsid w:val="00212A44"/>
    <w:rsid w:val="002153F6"/>
    <w:rsid w:val="0022245E"/>
    <w:rsid w:val="002241ED"/>
    <w:rsid w:val="002303D4"/>
    <w:rsid w:val="00231378"/>
    <w:rsid w:val="0023471F"/>
    <w:rsid w:val="0023587E"/>
    <w:rsid w:val="00241580"/>
    <w:rsid w:val="00241A5A"/>
    <w:rsid w:val="00242229"/>
    <w:rsid w:val="0024472C"/>
    <w:rsid w:val="00244AA7"/>
    <w:rsid w:val="00247AE4"/>
    <w:rsid w:val="002514D8"/>
    <w:rsid w:val="00251E0C"/>
    <w:rsid w:val="00251F30"/>
    <w:rsid w:val="002613A2"/>
    <w:rsid w:val="00261DD8"/>
    <w:rsid w:val="0026217F"/>
    <w:rsid w:val="0026466E"/>
    <w:rsid w:val="002709BF"/>
    <w:rsid w:val="00272F09"/>
    <w:rsid w:val="00282889"/>
    <w:rsid w:val="0028433A"/>
    <w:rsid w:val="00286987"/>
    <w:rsid w:val="00287CF5"/>
    <w:rsid w:val="00292355"/>
    <w:rsid w:val="00293174"/>
    <w:rsid w:val="002932B5"/>
    <w:rsid w:val="0029550F"/>
    <w:rsid w:val="002A0B86"/>
    <w:rsid w:val="002A2F1C"/>
    <w:rsid w:val="002A43E9"/>
    <w:rsid w:val="002B316F"/>
    <w:rsid w:val="002C094F"/>
    <w:rsid w:val="002C20DB"/>
    <w:rsid w:val="002C29CD"/>
    <w:rsid w:val="002C2CBB"/>
    <w:rsid w:val="002C2ED2"/>
    <w:rsid w:val="002C31C0"/>
    <w:rsid w:val="002C466F"/>
    <w:rsid w:val="002C61DC"/>
    <w:rsid w:val="002D0CD1"/>
    <w:rsid w:val="002D2949"/>
    <w:rsid w:val="002E5043"/>
    <w:rsid w:val="002E5FE1"/>
    <w:rsid w:val="002F4302"/>
    <w:rsid w:val="002F6F12"/>
    <w:rsid w:val="002F7DB9"/>
    <w:rsid w:val="00302F95"/>
    <w:rsid w:val="003043DF"/>
    <w:rsid w:val="00305CB9"/>
    <w:rsid w:val="00305EFC"/>
    <w:rsid w:val="003206E3"/>
    <w:rsid w:val="00322F07"/>
    <w:rsid w:val="00325F29"/>
    <w:rsid w:val="003334C9"/>
    <w:rsid w:val="0033709C"/>
    <w:rsid w:val="00337EFB"/>
    <w:rsid w:val="00340029"/>
    <w:rsid w:val="00340917"/>
    <w:rsid w:val="003418A8"/>
    <w:rsid w:val="00343344"/>
    <w:rsid w:val="003460C0"/>
    <w:rsid w:val="00346913"/>
    <w:rsid w:val="00351E84"/>
    <w:rsid w:val="003571E8"/>
    <w:rsid w:val="00357B1F"/>
    <w:rsid w:val="00366626"/>
    <w:rsid w:val="003710C3"/>
    <w:rsid w:val="00374B75"/>
    <w:rsid w:val="003830BA"/>
    <w:rsid w:val="0038359D"/>
    <w:rsid w:val="00384596"/>
    <w:rsid w:val="00387C70"/>
    <w:rsid w:val="00390BFA"/>
    <w:rsid w:val="00391798"/>
    <w:rsid w:val="003938BF"/>
    <w:rsid w:val="003A0957"/>
    <w:rsid w:val="003A1F3C"/>
    <w:rsid w:val="003A41F7"/>
    <w:rsid w:val="003A5783"/>
    <w:rsid w:val="003B4828"/>
    <w:rsid w:val="003C7674"/>
    <w:rsid w:val="003C7F63"/>
    <w:rsid w:val="003D3638"/>
    <w:rsid w:val="003D3852"/>
    <w:rsid w:val="003D5ABC"/>
    <w:rsid w:val="003D6194"/>
    <w:rsid w:val="003E4258"/>
    <w:rsid w:val="003E45EC"/>
    <w:rsid w:val="003E6FF6"/>
    <w:rsid w:val="003F53A0"/>
    <w:rsid w:val="003F6054"/>
    <w:rsid w:val="004002A1"/>
    <w:rsid w:val="00401878"/>
    <w:rsid w:val="00401CDE"/>
    <w:rsid w:val="004022D1"/>
    <w:rsid w:val="00406EBE"/>
    <w:rsid w:val="004071C3"/>
    <w:rsid w:val="00410AD0"/>
    <w:rsid w:val="00412520"/>
    <w:rsid w:val="00415B1C"/>
    <w:rsid w:val="004217B9"/>
    <w:rsid w:val="00421DD6"/>
    <w:rsid w:val="00423446"/>
    <w:rsid w:val="00424407"/>
    <w:rsid w:val="00430F40"/>
    <w:rsid w:val="00434EBD"/>
    <w:rsid w:val="00435E0D"/>
    <w:rsid w:val="004362BA"/>
    <w:rsid w:val="00437863"/>
    <w:rsid w:val="00442434"/>
    <w:rsid w:val="00445F9D"/>
    <w:rsid w:val="0044786F"/>
    <w:rsid w:val="004514F6"/>
    <w:rsid w:val="00451F2C"/>
    <w:rsid w:val="00455A35"/>
    <w:rsid w:val="00455E75"/>
    <w:rsid w:val="00457651"/>
    <w:rsid w:val="004612CE"/>
    <w:rsid w:val="00462673"/>
    <w:rsid w:val="0046287D"/>
    <w:rsid w:val="004640A4"/>
    <w:rsid w:val="004641D7"/>
    <w:rsid w:val="0046428A"/>
    <w:rsid w:val="004646D7"/>
    <w:rsid w:val="0046554A"/>
    <w:rsid w:val="004661AA"/>
    <w:rsid w:val="00471492"/>
    <w:rsid w:val="004716F5"/>
    <w:rsid w:val="00471D82"/>
    <w:rsid w:val="00473EEC"/>
    <w:rsid w:val="004771D8"/>
    <w:rsid w:val="004816D2"/>
    <w:rsid w:val="00486D01"/>
    <w:rsid w:val="00487AD8"/>
    <w:rsid w:val="00497941"/>
    <w:rsid w:val="004A0376"/>
    <w:rsid w:val="004B0A21"/>
    <w:rsid w:val="004B3E8F"/>
    <w:rsid w:val="004C06E6"/>
    <w:rsid w:val="004C17DD"/>
    <w:rsid w:val="004C4298"/>
    <w:rsid w:val="004D2A50"/>
    <w:rsid w:val="004D3437"/>
    <w:rsid w:val="004D405B"/>
    <w:rsid w:val="004D4E4B"/>
    <w:rsid w:val="004D676E"/>
    <w:rsid w:val="004D7420"/>
    <w:rsid w:val="004D7CFB"/>
    <w:rsid w:val="004E2521"/>
    <w:rsid w:val="004E2E0D"/>
    <w:rsid w:val="004E7767"/>
    <w:rsid w:val="004F2D03"/>
    <w:rsid w:val="004F3F6E"/>
    <w:rsid w:val="004F7621"/>
    <w:rsid w:val="004F7F91"/>
    <w:rsid w:val="005014FF"/>
    <w:rsid w:val="00502DE0"/>
    <w:rsid w:val="00503F77"/>
    <w:rsid w:val="00506C0C"/>
    <w:rsid w:val="0050791C"/>
    <w:rsid w:val="0051039C"/>
    <w:rsid w:val="005104DD"/>
    <w:rsid w:val="00510CD8"/>
    <w:rsid w:val="005126E3"/>
    <w:rsid w:val="00513C5A"/>
    <w:rsid w:val="005151B6"/>
    <w:rsid w:val="005167EA"/>
    <w:rsid w:val="00517C7D"/>
    <w:rsid w:val="0052350F"/>
    <w:rsid w:val="00527D1D"/>
    <w:rsid w:val="00531265"/>
    <w:rsid w:val="00534A98"/>
    <w:rsid w:val="00535214"/>
    <w:rsid w:val="005353BC"/>
    <w:rsid w:val="00535625"/>
    <w:rsid w:val="00535CC4"/>
    <w:rsid w:val="0054010E"/>
    <w:rsid w:val="00547447"/>
    <w:rsid w:val="005510FF"/>
    <w:rsid w:val="00553224"/>
    <w:rsid w:val="00555931"/>
    <w:rsid w:val="005562E7"/>
    <w:rsid w:val="00560E93"/>
    <w:rsid w:val="00561841"/>
    <w:rsid w:val="005641A8"/>
    <w:rsid w:val="00564D0B"/>
    <w:rsid w:val="00564E9B"/>
    <w:rsid w:val="00566633"/>
    <w:rsid w:val="00566F89"/>
    <w:rsid w:val="00567108"/>
    <w:rsid w:val="0057013E"/>
    <w:rsid w:val="00571090"/>
    <w:rsid w:val="005733D1"/>
    <w:rsid w:val="00573AD3"/>
    <w:rsid w:val="005803A6"/>
    <w:rsid w:val="00580B73"/>
    <w:rsid w:val="005829E9"/>
    <w:rsid w:val="00583A45"/>
    <w:rsid w:val="0058597C"/>
    <w:rsid w:val="00587451"/>
    <w:rsid w:val="0058771B"/>
    <w:rsid w:val="00590A66"/>
    <w:rsid w:val="00592399"/>
    <w:rsid w:val="005931C2"/>
    <w:rsid w:val="0059550F"/>
    <w:rsid w:val="00596239"/>
    <w:rsid w:val="0059644F"/>
    <w:rsid w:val="00596F2E"/>
    <w:rsid w:val="00597DEE"/>
    <w:rsid w:val="005A3A97"/>
    <w:rsid w:val="005A5D32"/>
    <w:rsid w:val="005A7E6B"/>
    <w:rsid w:val="005B05C3"/>
    <w:rsid w:val="005C0384"/>
    <w:rsid w:val="005C236C"/>
    <w:rsid w:val="005C24F6"/>
    <w:rsid w:val="005D0285"/>
    <w:rsid w:val="005D6F0F"/>
    <w:rsid w:val="005E228B"/>
    <w:rsid w:val="005E58AE"/>
    <w:rsid w:val="005E7F45"/>
    <w:rsid w:val="005F2E55"/>
    <w:rsid w:val="005F4E7F"/>
    <w:rsid w:val="005F5BE4"/>
    <w:rsid w:val="005F790B"/>
    <w:rsid w:val="00607699"/>
    <w:rsid w:val="00610D98"/>
    <w:rsid w:val="006111BC"/>
    <w:rsid w:val="00611922"/>
    <w:rsid w:val="00611C3A"/>
    <w:rsid w:val="00613F7A"/>
    <w:rsid w:val="00616B24"/>
    <w:rsid w:val="00616F58"/>
    <w:rsid w:val="00617CBC"/>
    <w:rsid w:val="006209BA"/>
    <w:rsid w:val="006301E0"/>
    <w:rsid w:val="00637428"/>
    <w:rsid w:val="006375BD"/>
    <w:rsid w:val="0063778C"/>
    <w:rsid w:val="00637A5E"/>
    <w:rsid w:val="00637B1C"/>
    <w:rsid w:val="00642B7D"/>
    <w:rsid w:val="00643349"/>
    <w:rsid w:val="006438ED"/>
    <w:rsid w:val="006457A7"/>
    <w:rsid w:val="00652849"/>
    <w:rsid w:val="00656F4A"/>
    <w:rsid w:val="0066405E"/>
    <w:rsid w:val="006653CD"/>
    <w:rsid w:val="00665758"/>
    <w:rsid w:val="006659C0"/>
    <w:rsid w:val="006668C0"/>
    <w:rsid w:val="00666AC8"/>
    <w:rsid w:val="00667651"/>
    <w:rsid w:val="0067073A"/>
    <w:rsid w:val="00675E08"/>
    <w:rsid w:val="006760AA"/>
    <w:rsid w:val="006764CD"/>
    <w:rsid w:val="00681608"/>
    <w:rsid w:val="006877B7"/>
    <w:rsid w:val="00690DDE"/>
    <w:rsid w:val="00690E51"/>
    <w:rsid w:val="00692230"/>
    <w:rsid w:val="006954DC"/>
    <w:rsid w:val="00695787"/>
    <w:rsid w:val="0069595B"/>
    <w:rsid w:val="006A1B70"/>
    <w:rsid w:val="006A33FD"/>
    <w:rsid w:val="006A7F79"/>
    <w:rsid w:val="006B057F"/>
    <w:rsid w:val="006B3703"/>
    <w:rsid w:val="006B4530"/>
    <w:rsid w:val="006C1814"/>
    <w:rsid w:val="006C23F2"/>
    <w:rsid w:val="006C2BB2"/>
    <w:rsid w:val="006C2D41"/>
    <w:rsid w:val="006C50B8"/>
    <w:rsid w:val="006C6F5C"/>
    <w:rsid w:val="006D2532"/>
    <w:rsid w:val="006D2C59"/>
    <w:rsid w:val="006D4465"/>
    <w:rsid w:val="006D5A5F"/>
    <w:rsid w:val="006D5CC9"/>
    <w:rsid w:val="006D6B40"/>
    <w:rsid w:val="006E04D2"/>
    <w:rsid w:val="006E111C"/>
    <w:rsid w:val="006E44A9"/>
    <w:rsid w:val="006E6A32"/>
    <w:rsid w:val="006F15F4"/>
    <w:rsid w:val="006F4F70"/>
    <w:rsid w:val="00700102"/>
    <w:rsid w:val="0070172B"/>
    <w:rsid w:val="00703B9E"/>
    <w:rsid w:val="00706732"/>
    <w:rsid w:val="0071152A"/>
    <w:rsid w:val="00711D52"/>
    <w:rsid w:val="00717E7A"/>
    <w:rsid w:val="00717F4C"/>
    <w:rsid w:val="007206D8"/>
    <w:rsid w:val="0072139E"/>
    <w:rsid w:val="00721466"/>
    <w:rsid w:val="00722700"/>
    <w:rsid w:val="00723301"/>
    <w:rsid w:val="007245A5"/>
    <w:rsid w:val="00724F05"/>
    <w:rsid w:val="00726B82"/>
    <w:rsid w:val="00732FA3"/>
    <w:rsid w:val="007366D4"/>
    <w:rsid w:val="00742613"/>
    <w:rsid w:val="00744019"/>
    <w:rsid w:val="00744E23"/>
    <w:rsid w:val="00745DF5"/>
    <w:rsid w:val="00747B13"/>
    <w:rsid w:val="00752936"/>
    <w:rsid w:val="00752C2D"/>
    <w:rsid w:val="00753530"/>
    <w:rsid w:val="00754034"/>
    <w:rsid w:val="00756387"/>
    <w:rsid w:val="00765175"/>
    <w:rsid w:val="00766EC4"/>
    <w:rsid w:val="00770364"/>
    <w:rsid w:val="007745CC"/>
    <w:rsid w:val="00775262"/>
    <w:rsid w:val="00777B42"/>
    <w:rsid w:val="007819B3"/>
    <w:rsid w:val="007819CA"/>
    <w:rsid w:val="0078283B"/>
    <w:rsid w:val="00786C5B"/>
    <w:rsid w:val="007937C9"/>
    <w:rsid w:val="00793ADB"/>
    <w:rsid w:val="007972A9"/>
    <w:rsid w:val="00797C79"/>
    <w:rsid w:val="007A0EC8"/>
    <w:rsid w:val="007A730E"/>
    <w:rsid w:val="007A79A2"/>
    <w:rsid w:val="007B17A8"/>
    <w:rsid w:val="007B43B9"/>
    <w:rsid w:val="007B79A8"/>
    <w:rsid w:val="007C002D"/>
    <w:rsid w:val="007C23D2"/>
    <w:rsid w:val="007C2F03"/>
    <w:rsid w:val="007C3E3F"/>
    <w:rsid w:val="007C5249"/>
    <w:rsid w:val="007C5FC2"/>
    <w:rsid w:val="007C7001"/>
    <w:rsid w:val="007D2C16"/>
    <w:rsid w:val="007D4366"/>
    <w:rsid w:val="007D488D"/>
    <w:rsid w:val="007E2AF8"/>
    <w:rsid w:val="007E56F4"/>
    <w:rsid w:val="007E6166"/>
    <w:rsid w:val="007F1155"/>
    <w:rsid w:val="007F753C"/>
    <w:rsid w:val="00802570"/>
    <w:rsid w:val="00807616"/>
    <w:rsid w:val="008128E4"/>
    <w:rsid w:val="00814036"/>
    <w:rsid w:val="0081421A"/>
    <w:rsid w:val="008164CF"/>
    <w:rsid w:val="00830960"/>
    <w:rsid w:val="008366EB"/>
    <w:rsid w:val="00837CA0"/>
    <w:rsid w:val="00840AD3"/>
    <w:rsid w:val="008428AC"/>
    <w:rsid w:val="008444F3"/>
    <w:rsid w:val="00846560"/>
    <w:rsid w:val="00846AEA"/>
    <w:rsid w:val="00847A58"/>
    <w:rsid w:val="0085046E"/>
    <w:rsid w:val="00850EB2"/>
    <w:rsid w:val="0085165A"/>
    <w:rsid w:val="00854B63"/>
    <w:rsid w:val="008556BE"/>
    <w:rsid w:val="008605E8"/>
    <w:rsid w:val="008607E7"/>
    <w:rsid w:val="008617B2"/>
    <w:rsid w:val="00862163"/>
    <w:rsid w:val="00863F38"/>
    <w:rsid w:val="00864E0F"/>
    <w:rsid w:val="00874D00"/>
    <w:rsid w:val="00874DAB"/>
    <w:rsid w:val="008752BD"/>
    <w:rsid w:val="00875664"/>
    <w:rsid w:val="00880F8F"/>
    <w:rsid w:val="0088285E"/>
    <w:rsid w:val="00882FC2"/>
    <w:rsid w:val="008847B2"/>
    <w:rsid w:val="00884FB4"/>
    <w:rsid w:val="008870C2"/>
    <w:rsid w:val="00893624"/>
    <w:rsid w:val="00893E72"/>
    <w:rsid w:val="00895CDA"/>
    <w:rsid w:val="008978F4"/>
    <w:rsid w:val="008A01D7"/>
    <w:rsid w:val="008A60D7"/>
    <w:rsid w:val="008A6190"/>
    <w:rsid w:val="008A7E0A"/>
    <w:rsid w:val="008B30CD"/>
    <w:rsid w:val="008B53F5"/>
    <w:rsid w:val="008C2566"/>
    <w:rsid w:val="008C281E"/>
    <w:rsid w:val="008C2839"/>
    <w:rsid w:val="008C4BA1"/>
    <w:rsid w:val="008D0EB7"/>
    <w:rsid w:val="008D5F39"/>
    <w:rsid w:val="008E0094"/>
    <w:rsid w:val="008E2488"/>
    <w:rsid w:val="008E29F3"/>
    <w:rsid w:val="008E51F1"/>
    <w:rsid w:val="008F1135"/>
    <w:rsid w:val="008F1992"/>
    <w:rsid w:val="008F2411"/>
    <w:rsid w:val="008F2E3B"/>
    <w:rsid w:val="008F3111"/>
    <w:rsid w:val="008F564D"/>
    <w:rsid w:val="009070AC"/>
    <w:rsid w:val="009077E1"/>
    <w:rsid w:val="00911138"/>
    <w:rsid w:val="009125EF"/>
    <w:rsid w:val="00913A95"/>
    <w:rsid w:val="00916AE3"/>
    <w:rsid w:val="00920E79"/>
    <w:rsid w:val="00922750"/>
    <w:rsid w:val="00930148"/>
    <w:rsid w:val="00932163"/>
    <w:rsid w:val="00934091"/>
    <w:rsid w:val="009345B8"/>
    <w:rsid w:val="00936098"/>
    <w:rsid w:val="00937986"/>
    <w:rsid w:val="00941DC9"/>
    <w:rsid w:val="009471D8"/>
    <w:rsid w:val="00950EA7"/>
    <w:rsid w:val="00952144"/>
    <w:rsid w:val="00952C3F"/>
    <w:rsid w:val="009544AD"/>
    <w:rsid w:val="00954F5E"/>
    <w:rsid w:val="00957681"/>
    <w:rsid w:val="0096300B"/>
    <w:rsid w:val="0096325E"/>
    <w:rsid w:val="00963C77"/>
    <w:rsid w:val="0096405C"/>
    <w:rsid w:val="009644EB"/>
    <w:rsid w:val="009673EE"/>
    <w:rsid w:val="00972BC5"/>
    <w:rsid w:val="0097359E"/>
    <w:rsid w:val="00977257"/>
    <w:rsid w:val="00980994"/>
    <w:rsid w:val="00981A42"/>
    <w:rsid w:val="0099431C"/>
    <w:rsid w:val="0099479C"/>
    <w:rsid w:val="0099652B"/>
    <w:rsid w:val="009A0A65"/>
    <w:rsid w:val="009A3C25"/>
    <w:rsid w:val="009A420D"/>
    <w:rsid w:val="009A5A4B"/>
    <w:rsid w:val="009B529B"/>
    <w:rsid w:val="009B6702"/>
    <w:rsid w:val="009C10B3"/>
    <w:rsid w:val="009D32D4"/>
    <w:rsid w:val="009D53BE"/>
    <w:rsid w:val="009D6E2A"/>
    <w:rsid w:val="009E29BE"/>
    <w:rsid w:val="009E43F4"/>
    <w:rsid w:val="009F2E9B"/>
    <w:rsid w:val="009F3AF7"/>
    <w:rsid w:val="009F590D"/>
    <w:rsid w:val="009F7EE5"/>
    <w:rsid w:val="00A04904"/>
    <w:rsid w:val="00A05F3B"/>
    <w:rsid w:val="00A060CB"/>
    <w:rsid w:val="00A14B82"/>
    <w:rsid w:val="00A1547C"/>
    <w:rsid w:val="00A22DD0"/>
    <w:rsid w:val="00A2358A"/>
    <w:rsid w:val="00A31422"/>
    <w:rsid w:val="00A348AC"/>
    <w:rsid w:val="00A35484"/>
    <w:rsid w:val="00A35AB3"/>
    <w:rsid w:val="00A40280"/>
    <w:rsid w:val="00A42506"/>
    <w:rsid w:val="00A51253"/>
    <w:rsid w:val="00A531CA"/>
    <w:rsid w:val="00A56081"/>
    <w:rsid w:val="00A578C7"/>
    <w:rsid w:val="00A637DE"/>
    <w:rsid w:val="00A65ABD"/>
    <w:rsid w:val="00A66584"/>
    <w:rsid w:val="00A67964"/>
    <w:rsid w:val="00A7215E"/>
    <w:rsid w:val="00A771D2"/>
    <w:rsid w:val="00A83661"/>
    <w:rsid w:val="00A8412C"/>
    <w:rsid w:val="00A84F03"/>
    <w:rsid w:val="00A871E8"/>
    <w:rsid w:val="00A87633"/>
    <w:rsid w:val="00A87FA8"/>
    <w:rsid w:val="00A90305"/>
    <w:rsid w:val="00A918FB"/>
    <w:rsid w:val="00A9344F"/>
    <w:rsid w:val="00A937B0"/>
    <w:rsid w:val="00A94581"/>
    <w:rsid w:val="00A95336"/>
    <w:rsid w:val="00A96366"/>
    <w:rsid w:val="00A97762"/>
    <w:rsid w:val="00AA05B5"/>
    <w:rsid w:val="00AA1A5E"/>
    <w:rsid w:val="00AB1A9C"/>
    <w:rsid w:val="00AB21D6"/>
    <w:rsid w:val="00AB59A8"/>
    <w:rsid w:val="00AB5E7A"/>
    <w:rsid w:val="00AB622E"/>
    <w:rsid w:val="00AB6539"/>
    <w:rsid w:val="00AC2CC0"/>
    <w:rsid w:val="00AC56B6"/>
    <w:rsid w:val="00AC6F7C"/>
    <w:rsid w:val="00AC7216"/>
    <w:rsid w:val="00AD3C36"/>
    <w:rsid w:val="00AE5C08"/>
    <w:rsid w:val="00AE6C56"/>
    <w:rsid w:val="00AF05AE"/>
    <w:rsid w:val="00AF1338"/>
    <w:rsid w:val="00AF3535"/>
    <w:rsid w:val="00AF413C"/>
    <w:rsid w:val="00AF5935"/>
    <w:rsid w:val="00AF7A1A"/>
    <w:rsid w:val="00AF7FC2"/>
    <w:rsid w:val="00B002C8"/>
    <w:rsid w:val="00B01BFD"/>
    <w:rsid w:val="00B0598A"/>
    <w:rsid w:val="00B0607B"/>
    <w:rsid w:val="00B13857"/>
    <w:rsid w:val="00B151AB"/>
    <w:rsid w:val="00B15801"/>
    <w:rsid w:val="00B17621"/>
    <w:rsid w:val="00B24970"/>
    <w:rsid w:val="00B2637C"/>
    <w:rsid w:val="00B27180"/>
    <w:rsid w:val="00B30EC0"/>
    <w:rsid w:val="00B31BF4"/>
    <w:rsid w:val="00B356ED"/>
    <w:rsid w:val="00B35C22"/>
    <w:rsid w:val="00B37667"/>
    <w:rsid w:val="00B418F4"/>
    <w:rsid w:val="00B426FE"/>
    <w:rsid w:val="00B42820"/>
    <w:rsid w:val="00B47F4F"/>
    <w:rsid w:val="00B50A34"/>
    <w:rsid w:val="00B53673"/>
    <w:rsid w:val="00B54CF9"/>
    <w:rsid w:val="00B55A0E"/>
    <w:rsid w:val="00B57CF4"/>
    <w:rsid w:val="00B60A51"/>
    <w:rsid w:val="00B60E28"/>
    <w:rsid w:val="00B63932"/>
    <w:rsid w:val="00B63E8E"/>
    <w:rsid w:val="00B6668D"/>
    <w:rsid w:val="00B71AEA"/>
    <w:rsid w:val="00B736BE"/>
    <w:rsid w:val="00B764E4"/>
    <w:rsid w:val="00B7698B"/>
    <w:rsid w:val="00B815C1"/>
    <w:rsid w:val="00B8370B"/>
    <w:rsid w:val="00B8408F"/>
    <w:rsid w:val="00B9162D"/>
    <w:rsid w:val="00B94315"/>
    <w:rsid w:val="00B96455"/>
    <w:rsid w:val="00BA2FC3"/>
    <w:rsid w:val="00BA4E0C"/>
    <w:rsid w:val="00BB4036"/>
    <w:rsid w:val="00BB6C4D"/>
    <w:rsid w:val="00BB6E32"/>
    <w:rsid w:val="00BB7C62"/>
    <w:rsid w:val="00BB7EAE"/>
    <w:rsid w:val="00BC0821"/>
    <w:rsid w:val="00BC25D0"/>
    <w:rsid w:val="00BC5603"/>
    <w:rsid w:val="00BD508A"/>
    <w:rsid w:val="00BD5F25"/>
    <w:rsid w:val="00BE17F7"/>
    <w:rsid w:val="00BE31A3"/>
    <w:rsid w:val="00BE31B8"/>
    <w:rsid w:val="00BE506E"/>
    <w:rsid w:val="00BE65F1"/>
    <w:rsid w:val="00BE780D"/>
    <w:rsid w:val="00BF002F"/>
    <w:rsid w:val="00BF2691"/>
    <w:rsid w:val="00BF4AF2"/>
    <w:rsid w:val="00BF709A"/>
    <w:rsid w:val="00C004FF"/>
    <w:rsid w:val="00C06005"/>
    <w:rsid w:val="00C12BAA"/>
    <w:rsid w:val="00C17C86"/>
    <w:rsid w:val="00C25F17"/>
    <w:rsid w:val="00C312C9"/>
    <w:rsid w:val="00C33FB4"/>
    <w:rsid w:val="00C34101"/>
    <w:rsid w:val="00C34B8B"/>
    <w:rsid w:val="00C37447"/>
    <w:rsid w:val="00C4019C"/>
    <w:rsid w:val="00C46940"/>
    <w:rsid w:val="00C471C1"/>
    <w:rsid w:val="00C501EA"/>
    <w:rsid w:val="00C50AA5"/>
    <w:rsid w:val="00C52366"/>
    <w:rsid w:val="00C54CE1"/>
    <w:rsid w:val="00C60729"/>
    <w:rsid w:val="00C6115E"/>
    <w:rsid w:val="00C66075"/>
    <w:rsid w:val="00C66253"/>
    <w:rsid w:val="00C6650E"/>
    <w:rsid w:val="00C666EB"/>
    <w:rsid w:val="00C6757F"/>
    <w:rsid w:val="00C71AD6"/>
    <w:rsid w:val="00C828D6"/>
    <w:rsid w:val="00C845C3"/>
    <w:rsid w:val="00C85B2B"/>
    <w:rsid w:val="00C867B3"/>
    <w:rsid w:val="00C87EA8"/>
    <w:rsid w:val="00C9154E"/>
    <w:rsid w:val="00C91C29"/>
    <w:rsid w:val="00C93250"/>
    <w:rsid w:val="00C94613"/>
    <w:rsid w:val="00C959DF"/>
    <w:rsid w:val="00C96CDF"/>
    <w:rsid w:val="00CA0C4F"/>
    <w:rsid w:val="00CA289F"/>
    <w:rsid w:val="00CA56DA"/>
    <w:rsid w:val="00CA6144"/>
    <w:rsid w:val="00CA64C3"/>
    <w:rsid w:val="00CA71AE"/>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3C39"/>
    <w:rsid w:val="00CE62DD"/>
    <w:rsid w:val="00CE75EE"/>
    <w:rsid w:val="00CE7E21"/>
    <w:rsid w:val="00CF555D"/>
    <w:rsid w:val="00D014CE"/>
    <w:rsid w:val="00D01AB2"/>
    <w:rsid w:val="00D020C7"/>
    <w:rsid w:val="00D0643B"/>
    <w:rsid w:val="00D0702B"/>
    <w:rsid w:val="00D07E6A"/>
    <w:rsid w:val="00D11A0D"/>
    <w:rsid w:val="00D121C0"/>
    <w:rsid w:val="00D13D12"/>
    <w:rsid w:val="00D14D9B"/>
    <w:rsid w:val="00D16295"/>
    <w:rsid w:val="00D212C2"/>
    <w:rsid w:val="00D26884"/>
    <w:rsid w:val="00D43408"/>
    <w:rsid w:val="00D44FFF"/>
    <w:rsid w:val="00D45A4B"/>
    <w:rsid w:val="00D45D8B"/>
    <w:rsid w:val="00D57F9E"/>
    <w:rsid w:val="00D63281"/>
    <w:rsid w:val="00D6525E"/>
    <w:rsid w:val="00D65268"/>
    <w:rsid w:val="00D66C89"/>
    <w:rsid w:val="00D67568"/>
    <w:rsid w:val="00D743C0"/>
    <w:rsid w:val="00D75B43"/>
    <w:rsid w:val="00D8289D"/>
    <w:rsid w:val="00D87A2A"/>
    <w:rsid w:val="00D91731"/>
    <w:rsid w:val="00D9387C"/>
    <w:rsid w:val="00D95204"/>
    <w:rsid w:val="00DA21E9"/>
    <w:rsid w:val="00DA388C"/>
    <w:rsid w:val="00DA5F2E"/>
    <w:rsid w:val="00DA6856"/>
    <w:rsid w:val="00DA723A"/>
    <w:rsid w:val="00DA73A2"/>
    <w:rsid w:val="00DB001D"/>
    <w:rsid w:val="00DB711A"/>
    <w:rsid w:val="00DC225D"/>
    <w:rsid w:val="00DC26EE"/>
    <w:rsid w:val="00DC6E53"/>
    <w:rsid w:val="00DD2464"/>
    <w:rsid w:val="00DD24EB"/>
    <w:rsid w:val="00DE089B"/>
    <w:rsid w:val="00DE213A"/>
    <w:rsid w:val="00DE7C02"/>
    <w:rsid w:val="00DF2986"/>
    <w:rsid w:val="00DF3ED0"/>
    <w:rsid w:val="00DF646B"/>
    <w:rsid w:val="00DF77C0"/>
    <w:rsid w:val="00E00F56"/>
    <w:rsid w:val="00E01E11"/>
    <w:rsid w:val="00E03C4C"/>
    <w:rsid w:val="00E12C9B"/>
    <w:rsid w:val="00E17176"/>
    <w:rsid w:val="00E26BD3"/>
    <w:rsid w:val="00E31CFB"/>
    <w:rsid w:val="00E3694C"/>
    <w:rsid w:val="00E407F4"/>
    <w:rsid w:val="00E4168E"/>
    <w:rsid w:val="00E45487"/>
    <w:rsid w:val="00E468ED"/>
    <w:rsid w:val="00E474BF"/>
    <w:rsid w:val="00E47B11"/>
    <w:rsid w:val="00E5214C"/>
    <w:rsid w:val="00E54450"/>
    <w:rsid w:val="00E56B82"/>
    <w:rsid w:val="00E57A5E"/>
    <w:rsid w:val="00E57B00"/>
    <w:rsid w:val="00E6531A"/>
    <w:rsid w:val="00E76A29"/>
    <w:rsid w:val="00E83597"/>
    <w:rsid w:val="00E8471C"/>
    <w:rsid w:val="00E863F5"/>
    <w:rsid w:val="00E93082"/>
    <w:rsid w:val="00E93E6D"/>
    <w:rsid w:val="00E9422C"/>
    <w:rsid w:val="00E968EB"/>
    <w:rsid w:val="00EA092D"/>
    <w:rsid w:val="00EA0AB3"/>
    <w:rsid w:val="00EA52BF"/>
    <w:rsid w:val="00EA593A"/>
    <w:rsid w:val="00EA7D24"/>
    <w:rsid w:val="00EB116C"/>
    <w:rsid w:val="00EB4A5E"/>
    <w:rsid w:val="00EB4A68"/>
    <w:rsid w:val="00EB75E0"/>
    <w:rsid w:val="00EC06FB"/>
    <w:rsid w:val="00EC0E1B"/>
    <w:rsid w:val="00EC206E"/>
    <w:rsid w:val="00EC243B"/>
    <w:rsid w:val="00EC33E0"/>
    <w:rsid w:val="00EC7938"/>
    <w:rsid w:val="00EC796E"/>
    <w:rsid w:val="00ED5987"/>
    <w:rsid w:val="00EE475D"/>
    <w:rsid w:val="00EE58B9"/>
    <w:rsid w:val="00EE6E33"/>
    <w:rsid w:val="00EE7745"/>
    <w:rsid w:val="00EF066C"/>
    <w:rsid w:val="00EF2690"/>
    <w:rsid w:val="00EF6FD1"/>
    <w:rsid w:val="00F023CF"/>
    <w:rsid w:val="00F037A2"/>
    <w:rsid w:val="00F03B6C"/>
    <w:rsid w:val="00F07A37"/>
    <w:rsid w:val="00F111C6"/>
    <w:rsid w:val="00F121A5"/>
    <w:rsid w:val="00F17E5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4908"/>
    <w:rsid w:val="00F50677"/>
    <w:rsid w:val="00F57549"/>
    <w:rsid w:val="00F608BA"/>
    <w:rsid w:val="00F6582E"/>
    <w:rsid w:val="00F66330"/>
    <w:rsid w:val="00F675A7"/>
    <w:rsid w:val="00F70B2D"/>
    <w:rsid w:val="00F715AC"/>
    <w:rsid w:val="00F71D68"/>
    <w:rsid w:val="00F72144"/>
    <w:rsid w:val="00F75B47"/>
    <w:rsid w:val="00F7750D"/>
    <w:rsid w:val="00F83654"/>
    <w:rsid w:val="00F86E60"/>
    <w:rsid w:val="00F87A94"/>
    <w:rsid w:val="00F9064A"/>
    <w:rsid w:val="00F91286"/>
    <w:rsid w:val="00F9150E"/>
    <w:rsid w:val="00F91E0B"/>
    <w:rsid w:val="00F949E8"/>
    <w:rsid w:val="00FA030F"/>
    <w:rsid w:val="00FA0344"/>
    <w:rsid w:val="00FA2969"/>
    <w:rsid w:val="00FA34CA"/>
    <w:rsid w:val="00FA3A9C"/>
    <w:rsid w:val="00FA4325"/>
    <w:rsid w:val="00FA4B4F"/>
    <w:rsid w:val="00FA5AAD"/>
    <w:rsid w:val="00FA6A17"/>
    <w:rsid w:val="00FA77C2"/>
    <w:rsid w:val="00FA78E6"/>
    <w:rsid w:val="00FB1247"/>
    <w:rsid w:val="00FB17BD"/>
    <w:rsid w:val="00FB1E4A"/>
    <w:rsid w:val="00FB2F4D"/>
    <w:rsid w:val="00FB5D77"/>
    <w:rsid w:val="00FB5FDB"/>
    <w:rsid w:val="00FB63A9"/>
    <w:rsid w:val="00FB64D6"/>
    <w:rsid w:val="00FC2544"/>
    <w:rsid w:val="00FC397C"/>
    <w:rsid w:val="00FC4A66"/>
    <w:rsid w:val="00FC5912"/>
    <w:rsid w:val="00FC6223"/>
    <w:rsid w:val="00FD0514"/>
    <w:rsid w:val="00FD1769"/>
    <w:rsid w:val="00FD4458"/>
    <w:rsid w:val="00FD6454"/>
    <w:rsid w:val="00FD6A4B"/>
    <w:rsid w:val="00FF2864"/>
    <w:rsid w:val="00FF310E"/>
    <w:rsid w:val="00FF4868"/>
    <w:rsid w:val="00FF5F08"/>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8614"/>
  <w15:docId w15:val="{2A56C8FF-F15B-40BE-A202-CBF5C12A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D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71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E3C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3C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A03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afterAutospacing="1" w:line="240" w:lineRule="auto"/>
    </w:pPr>
    <w:rPr>
      <w:rFonts w:ascii="Helv" w:eastAsia="Times New Roman" w:hAnsi="Helv" w:cs="Times New Roman"/>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uiPriority w:val="99"/>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afterAutospacing="1" w:line="240" w:lineRule="auto"/>
    </w:pPr>
    <w:rPr>
      <w:rFonts w:ascii="Arial" w:eastAsia="Times New Roman" w:hAnsi="Arial" w:cs="Times New Roman"/>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afterAutospacing="1" w:line="240" w:lineRule="auto"/>
    </w:pPr>
    <w:rPr>
      <w:rFonts w:ascii="Tahoma" w:eastAsia="Calibri" w:hAnsi="Tahoma" w:cs="Times New Roman"/>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afterAutospacing="1" w:line="240" w:lineRule="auto"/>
    </w:pPr>
    <w:rPr>
      <w:rFonts w:ascii="Arial" w:eastAsia="Calibri" w:hAnsi="Arial" w:cs="Times New Roman"/>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uiPriority w:val="22"/>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spacing w:after="100" w:afterAutospacing="1" w:line="240" w:lineRule="auto"/>
      <w:ind w:left="720"/>
      <w:contextualSpacing/>
    </w:pPr>
    <w:rPr>
      <w:rFonts w:ascii="Times New Roman" w:eastAsia="Calibri" w:hAnsi="Times New Roman" w:cs="Times New Roman"/>
      <w:sz w:val="24"/>
    </w:r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spacing w:after="100" w:afterAutospacing="1" w:line="240" w:lineRule="auto"/>
    </w:pPr>
    <w:rPr>
      <w:rFonts w:ascii="Calibri" w:eastAsia="Times New Roman" w:hAnsi="Calibri" w:cs="Times New Roman"/>
      <w:sz w:val="24"/>
    </w:rPr>
  </w:style>
  <w:style w:type="paragraph" w:styleId="FootnoteText">
    <w:name w:val="footnote text"/>
    <w:basedOn w:val="Normal"/>
    <w:link w:val="FootnoteTextChar"/>
    <w:uiPriority w:val="99"/>
    <w:unhideWhenUsed/>
    <w:rsid w:val="00941DC9"/>
    <w:pPr>
      <w:spacing w:after="0" w:afterAutospacing="1" w:line="240" w:lineRule="auto"/>
    </w:pPr>
    <w:rPr>
      <w:rFonts w:ascii="Calibri" w:eastAsia="Times New Roman" w:hAnsi="Calibri" w:cs="Times New Roman"/>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afterAutospacing="1" w:line="240" w:lineRule="auto"/>
    </w:pPr>
    <w:rPr>
      <w:rFonts w:ascii="Century" w:eastAsia="Times New Roman" w:hAnsi="Century" w:cs="Times New Roman"/>
      <w:sz w:val="24"/>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pPr>
      <w:spacing w:after="100" w:afterAutospacing="1" w:line="240" w:lineRule="auto"/>
    </w:pPr>
    <w:rPr>
      <w:rFonts w:ascii="Times New Roman" w:eastAsia="Calibri" w:hAnsi="Times New Roman" w:cs="Times New Roman"/>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pPr>
      <w:spacing w:after="100" w:afterAutospacing="1" w:line="240" w:lineRule="auto"/>
    </w:pPr>
    <w:rPr>
      <w:rFonts w:ascii="Times New Roman" w:eastAsia="Calibri" w:hAnsi="Times New Roman" w:cs="Times New Roman"/>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line="240" w:lineRule="auto"/>
      <w:jc w:val="center"/>
    </w:pPr>
    <w:rPr>
      <w:rFonts w:ascii="Times New Roman" w:eastAsia="Calibri" w:hAnsi="Times New Roman" w:cs="Times New Roman"/>
      <w:b/>
      <w:bCs/>
      <w:spacing w:val="-3"/>
      <w:sz w:val="24"/>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line="240" w:lineRule="auto"/>
      <w:ind w:left="720" w:right="720"/>
      <w:jc w:val="both"/>
    </w:pPr>
    <w:rPr>
      <w:rFonts w:ascii="Times New Roman" w:eastAsia="Calibri" w:hAnsi="Times New Roman" w:cs="Times New Roman"/>
      <w:sz w:val="24"/>
      <w:szCs w:val="24"/>
    </w:rPr>
  </w:style>
  <w:style w:type="character" w:customStyle="1" w:styleId="bluelabel2nd1">
    <w:name w:val="bluelabel_2nd1"/>
    <w:basedOn w:val="DefaultParagraphFont"/>
    <w:rsid w:val="004640A4"/>
    <w:rPr>
      <w:rFonts w:ascii="Arial" w:hAnsi="Arial" w:cs="Arial" w:hint="default"/>
      <w:b/>
      <w:bCs/>
      <w:color w:val="0081C5"/>
      <w:sz w:val="23"/>
      <w:szCs w:val="23"/>
    </w:rPr>
  </w:style>
  <w:style w:type="paragraph" w:customStyle="1" w:styleId="tc-article-outline-1">
    <w:name w:val="tc-article-outline-1"/>
    <w:basedOn w:val="Normal"/>
    <w:rsid w:val="00D01AB2"/>
    <w:pPr>
      <w:spacing w:before="100" w:beforeAutospacing="1" w:after="100" w:afterAutospacing="1" w:line="240" w:lineRule="auto"/>
      <w:ind w:left="300"/>
    </w:pPr>
    <w:rPr>
      <w:rFonts w:ascii="Times New Roman" w:eastAsia="Times New Roman" w:hAnsi="Times New Roman" w:cs="Times New Roman"/>
      <w:color w:val="000000"/>
    </w:rPr>
  </w:style>
  <w:style w:type="paragraph" w:customStyle="1" w:styleId="tc-article-outline-2">
    <w:name w:val="tc-article-outline-2"/>
    <w:basedOn w:val="Normal"/>
    <w:rsid w:val="00D01AB2"/>
    <w:pPr>
      <w:spacing w:before="100" w:beforeAutospacing="1" w:after="100" w:afterAutospacing="1" w:line="240" w:lineRule="auto"/>
      <w:ind w:left="600"/>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471492"/>
    <w:rPr>
      <w:rFonts w:asciiTheme="majorHAnsi" w:eastAsiaTheme="majorEastAsia" w:hAnsiTheme="majorHAnsi" w:cstheme="majorBidi"/>
      <w:b/>
      <w:bCs/>
      <w:color w:val="365F91" w:themeColor="accent1" w:themeShade="BF"/>
      <w:sz w:val="28"/>
      <w:szCs w:val="28"/>
    </w:rPr>
  </w:style>
  <w:style w:type="paragraph" w:customStyle="1" w:styleId="tc-article-body">
    <w:name w:val="tc-article-body"/>
    <w:basedOn w:val="Normal"/>
    <w:rsid w:val="00EC206E"/>
    <w:pPr>
      <w:spacing w:before="100" w:beforeAutospacing="1" w:after="100" w:afterAutospacing="1" w:line="240" w:lineRule="auto"/>
    </w:pPr>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B4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2483137">
      <w:bodyDiv w:val="1"/>
      <w:marLeft w:val="0"/>
      <w:marRight w:val="0"/>
      <w:marTop w:val="0"/>
      <w:marBottom w:val="0"/>
      <w:divBdr>
        <w:top w:val="none" w:sz="0" w:space="0" w:color="auto"/>
        <w:left w:val="none" w:sz="0" w:space="0" w:color="auto"/>
        <w:bottom w:val="none" w:sz="0" w:space="0" w:color="auto"/>
        <w:right w:val="none" w:sz="0" w:space="0" w:color="auto"/>
      </w:divBdr>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41033868">
      <w:bodyDiv w:val="1"/>
      <w:marLeft w:val="0"/>
      <w:marRight w:val="0"/>
      <w:marTop w:val="0"/>
      <w:marBottom w:val="0"/>
      <w:divBdr>
        <w:top w:val="none" w:sz="0" w:space="0" w:color="auto"/>
        <w:left w:val="none" w:sz="0" w:space="0" w:color="auto"/>
        <w:bottom w:val="none" w:sz="0" w:space="0" w:color="auto"/>
        <w:right w:val="none" w:sz="0" w:space="0" w:color="auto"/>
      </w:divBdr>
      <w:divsChild>
        <w:div w:id="1175849378">
          <w:marLeft w:val="0"/>
          <w:marRight w:val="0"/>
          <w:marTop w:val="0"/>
          <w:marBottom w:val="0"/>
          <w:divBdr>
            <w:top w:val="none" w:sz="0" w:space="0" w:color="auto"/>
            <w:left w:val="none" w:sz="0" w:space="0" w:color="auto"/>
            <w:bottom w:val="none" w:sz="0" w:space="0" w:color="auto"/>
            <w:right w:val="none" w:sz="0" w:space="0" w:color="auto"/>
          </w:divBdr>
        </w:div>
      </w:divsChild>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7977">
      <w:bodyDiv w:val="1"/>
      <w:marLeft w:val="0"/>
      <w:marRight w:val="0"/>
      <w:marTop w:val="0"/>
      <w:marBottom w:val="0"/>
      <w:divBdr>
        <w:top w:val="none" w:sz="0" w:space="0" w:color="auto"/>
        <w:left w:val="none" w:sz="0" w:space="0" w:color="auto"/>
        <w:bottom w:val="none" w:sz="0" w:space="0" w:color="auto"/>
        <w:right w:val="none" w:sz="0" w:space="0" w:color="auto"/>
      </w:divBdr>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5890">
      <w:bodyDiv w:val="1"/>
      <w:marLeft w:val="0"/>
      <w:marRight w:val="0"/>
      <w:marTop w:val="0"/>
      <w:marBottom w:val="0"/>
      <w:divBdr>
        <w:top w:val="none" w:sz="0" w:space="0" w:color="auto"/>
        <w:left w:val="none" w:sz="0" w:space="0" w:color="auto"/>
        <w:bottom w:val="none" w:sz="0" w:space="0" w:color="auto"/>
        <w:right w:val="none" w:sz="0" w:space="0" w:color="auto"/>
      </w:divBdr>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5779059">
      <w:bodyDiv w:val="1"/>
      <w:marLeft w:val="0"/>
      <w:marRight w:val="0"/>
      <w:marTop w:val="0"/>
      <w:marBottom w:val="0"/>
      <w:divBdr>
        <w:top w:val="none" w:sz="0" w:space="0" w:color="auto"/>
        <w:left w:val="none" w:sz="0" w:space="0" w:color="auto"/>
        <w:bottom w:val="none" w:sz="0" w:space="0" w:color="auto"/>
        <w:right w:val="none" w:sz="0" w:space="0" w:color="auto"/>
      </w:divBdr>
      <w:divsChild>
        <w:div w:id="337467230">
          <w:marLeft w:val="0"/>
          <w:marRight w:val="0"/>
          <w:marTop w:val="0"/>
          <w:marBottom w:val="0"/>
          <w:divBdr>
            <w:top w:val="none" w:sz="0" w:space="0" w:color="auto"/>
            <w:left w:val="none" w:sz="0" w:space="0" w:color="auto"/>
            <w:bottom w:val="none" w:sz="0" w:space="0" w:color="auto"/>
            <w:right w:val="none" w:sz="0" w:space="0" w:color="auto"/>
          </w:divBdr>
          <w:divsChild>
            <w:div w:id="2046826640">
              <w:marLeft w:val="0"/>
              <w:marRight w:val="0"/>
              <w:marTop w:val="0"/>
              <w:marBottom w:val="0"/>
              <w:divBdr>
                <w:top w:val="none" w:sz="0" w:space="0" w:color="auto"/>
                <w:left w:val="none" w:sz="0" w:space="0" w:color="auto"/>
                <w:bottom w:val="none" w:sz="0" w:space="0" w:color="auto"/>
                <w:right w:val="none" w:sz="0" w:space="0" w:color="auto"/>
              </w:divBdr>
            </w:div>
            <w:div w:id="1439108690">
              <w:marLeft w:val="0"/>
              <w:marRight w:val="0"/>
              <w:marTop w:val="0"/>
              <w:marBottom w:val="0"/>
              <w:divBdr>
                <w:top w:val="none" w:sz="0" w:space="0" w:color="auto"/>
                <w:left w:val="none" w:sz="0" w:space="0" w:color="auto"/>
                <w:bottom w:val="none" w:sz="0" w:space="0" w:color="auto"/>
                <w:right w:val="none" w:sz="0" w:space="0" w:color="auto"/>
              </w:divBdr>
            </w:div>
            <w:div w:id="1523785371">
              <w:marLeft w:val="0"/>
              <w:marRight w:val="0"/>
              <w:marTop w:val="0"/>
              <w:marBottom w:val="0"/>
              <w:divBdr>
                <w:top w:val="none" w:sz="0" w:space="0" w:color="auto"/>
                <w:left w:val="none" w:sz="0" w:space="0" w:color="auto"/>
                <w:bottom w:val="none" w:sz="0" w:space="0" w:color="auto"/>
                <w:right w:val="none" w:sz="0" w:space="0" w:color="auto"/>
              </w:divBdr>
            </w:div>
            <w:div w:id="564951381">
              <w:marLeft w:val="0"/>
              <w:marRight w:val="0"/>
              <w:marTop w:val="0"/>
              <w:marBottom w:val="0"/>
              <w:divBdr>
                <w:top w:val="none" w:sz="0" w:space="0" w:color="auto"/>
                <w:left w:val="none" w:sz="0" w:space="0" w:color="auto"/>
                <w:bottom w:val="none" w:sz="0" w:space="0" w:color="auto"/>
                <w:right w:val="none" w:sz="0" w:space="0" w:color="auto"/>
              </w:divBdr>
            </w:div>
            <w:div w:id="1324358364">
              <w:marLeft w:val="0"/>
              <w:marRight w:val="0"/>
              <w:marTop w:val="0"/>
              <w:marBottom w:val="0"/>
              <w:divBdr>
                <w:top w:val="none" w:sz="0" w:space="0" w:color="auto"/>
                <w:left w:val="none" w:sz="0" w:space="0" w:color="auto"/>
                <w:bottom w:val="none" w:sz="0" w:space="0" w:color="auto"/>
                <w:right w:val="none" w:sz="0" w:space="0" w:color="auto"/>
              </w:divBdr>
            </w:div>
            <w:div w:id="1860269616">
              <w:marLeft w:val="0"/>
              <w:marRight w:val="0"/>
              <w:marTop w:val="0"/>
              <w:marBottom w:val="0"/>
              <w:divBdr>
                <w:top w:val="none" w:sz="0" w:space="0" w:color="auto"/>
                <w:left w:val="none" w:sz="0" w:space="0" w:color="auto"/>
                <w:bottom w:val="none" w:sz="0" w:space="0" w:color="auto"/>
                <w:right w:val="none" w:sz="0" w:space="0" w:color="auto"/>
              </w:divBdr>
            </w:div>
            <w:div w:id="825323900">
              <w:marLeft w:val="0"/>
              <w:marRight w:val="0"/>
              <w:marTop w:val="0"/>
              <w:marBottom w:val="0"/>
              <w:divBdr>
                <w:top w:val="none" w:sz="0" w:space="0" w:color="auto"/>
                <w:left w:val="none" w:sz="0" w:space="0" w:color="auto"/>
                <w:bottom w:val="none" w:sz="0" w:space="0" w:color="auto"/>
                <w:right w:val="none" w:sz="0" w:space="0" w:color="auto"/>
              </w:divBdr>
            </w:div>
            <w:div w:id="1393164334">
              <w:marLeft w:val="0"/>
              <w:marRight w:val="0"/>
              <w:marTop w:val="0"/>
              <w:marBottom w:val="0"/>
              <w:divBdr>
                <w:top w:val="none" w:sz="0" w:space="0" w:color="auto"/>
                <w:left w:val="none" w:sz="0" w:space="0" w:color="auto"/>
                <w:bottom w:val="none" w:sz="0" w:space="0" w:color="auto"/>
                <w:right w:val="none" w:sz="0" w:space="0" w:color="auto"/>
              </w:divBdr>
            </w:div>
            <w:div w:id="1507015088">
              <w:marLeft w:val="0"/>
              <w:marRight w:val="0"/>
              <w:marTop w:val="0"/>
              <w:marBottom w:val="0"/>
              <w:divBdr>
                <w:top w:val="none" w:sz="0" w:space="0" w:color="auto"/>
                <w:left w:val="none" w:sz="0" w:space="0" w:color="auto"/>
                <w:bottom w:val="none" w:sz="0" w:space="0" w:color="auto"/>
                <w:right w:val="none" w:sz="0" w:space="0" w:color="auto"/>
              </w:divBdr>
            </w:div>
            <w:div w:id="914783883">
              <w:marLeft w:val="0"/>
              <w:marRight w:val="0"/>
              <w:marTop w:val="0"/>
              <w:marBottom w:val="0"/>
              <w:divBdr>
                <w:top w:val="none" w:sz="0" w:space="0" w:color="auto"/>
                <w:left w:val="none" w:sz="0" w:space="0" w:color="auto"/>
                <w:bottom w:val="none" w:sz="0" w:space="0" w:color="auto"/>
                <w:right w:val="none" w:sz="0" w:space="0" w:color="auto"/>
              </w:divBdr>
            </w:div>
            <w:div w:id="1028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01593">
      <w:bodyDiv w:val="1"/>
      <w:marLeft w:val="0"/>
      <w:marRight w:val="0"/>
      <w:marTop w:val="0"/>
      <w:marBottom w:val="0"/>
      <w:divBdr>
        <w:top w:val="none" w:sz="0" w:space="0" w:color="auto"/>
        <w:left w:val="none" w:sz="0" w:space="0" w:color="auto"/>
        <w:bottom w:val="none" w:sz="0" w:space="0" w:color="auto"/>
        <w:right w:val="none" w:sz="0" w:space="0" w:color="auto"/>
      </w:divBdr>
      <w:divsChild>
        <w:div w:id="524945637">
          <w:marLeft w:val="0"/>
          <w:marRight w:val="0"/>
          <w:marTop w:val="0"/>
          <w:marBottom w:val="0"/>
          <w:divBdr>
            <w:top w:val="none" w:sz="0" w:space="0" w:color="auto"/>
            <w:left w:val="none" w:sz="0" w:space="0" w:color="auto"/>
            <w:bottom w:val="none" w:sz="0" w:space="0" w:color="auto"/>
            <w:right w:val="none" w:sz="0" w:space="0" w:color="auto"/>
          </w:divBdr>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1305148">
      <w:bodyDiv w:val="1"/>
      <w:marLeft w:val="0"/>
      <w:marRight w:val="0"/>
      <w:marTop w:val="0"/>
      <w:marBottom w:val="0"/>
      <w:divBdr>
        <w:top w:val="none" w:sz="0" w:space="0" w:color="auto"/>
        <w:left w:val="none" w:sz="0" w:space="0" w:color="auto"/>
        <w:bottom w:val="none" w:sz="0" w:space="0" w:color="auto"/>
        <w:right w:val="none" w:sz="0" w:space="0" w:color="auto"/>
      </w:divBdr>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028360">
      <w:bodyDiv w:val="1"/>
      <w:marLeft w:val="0"/>
      <w:marRight w:val="0"/>
      <w:marTop w:val="0"/>
      <w:marBottom w:val="0"/>
      <w:divBdr>
        <w:top w:val="none" w:sz="0" w:space="0" w:color="auto"/>
        <w:left w:val="none" w:sz="0" w:space="0" w:color="auto"/>
        <w:bottom w:val="none" w:sz="0" w:space="0" w:color="auto"/>
        <w:right w:val="none" w:sz="0" w:space="0" w:color="auto"/>
      </w:divBdr>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4116899">
      <w:bodyDiv w:val="1"/>
      <w:marLeft w:val="0"/>
      <w:marRight w:val="0"/>
      <w:marTop w:val="0"/>
      <w:marBottom w:val="0"/>
      <w:divBdr>
        <w:top w:val="none" w:sz="0" w:space="0" w:color="auto"/>
        <w:left w:val="none" w:sz="0" w:space="0" w:color="auto"/>
        <w:bottom w:val="none" w:sz="0" w:space="0" w:color="auto"/>
        <w:right w:val="none" w:sz="0" w:space="0" w:color="auto"/>
      </w:divBdr>
      <w:divsChild>
        <w:div w:id="1558971154">
          <w:marLeft w:val="0"/>
          <w:marRight w:val="0"/>
          <w:marTop w:val="0"/>
          <w:marBottom w:val="0"/>
          <w:divBdr>
            <w:top w:val="none" w:sz="0" w:space="0" w:color="auto"/>
            <w:left w:val="none" w:sz="0" w:space="0" w:color="auto"/>
            <w:bottom w:val="none" w:sz="0" w:space="0" w:color="auto"/>
            <w:right w:val="none" w:sz="0" w:space="0" w:color="auto"/>
          </w:divBdr>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287658">
      <w:bodyDiv w:val="1"/>
      <w:marLeft w:val="0"/>
      <w:marRight w:val="0"/>
      <w:marTop w:val="0"/>
      <w:marBottom w:val="0"/>
      <w:divBdr>
        <w:top w:val="none" w:sz="0" w:space="0" w:color="auto"/>
        <w:left w:val="none" w:sz="0" w:space="0" w:color="auto"/>
        <w:bottom w:val="none" w:sz="0" w:space="0" w:color="auto"/>
        <w:right w:val="none" w:sz="0" w:space="0" w:color="auto"/>
      </w:divBdr>
      <w:divsChild>
        <w:div w:id="1974754863">
          <w:marLeft w:val="0"/>
          <w:marRight w:val="0"/>
          <w:marTop w:val="0"/>
          <w:marBottom w:val="0"/>
          <w:divBdr>
            <w:top w:val="none" w:sz="0" w:space="0" w:color="auto"/>
            <w:left w:val="none" w:sz="0" w:space="0" w:color="auto"/>
            <w:bottom w:val="none" w:sz="0" w:space="0" w:color="auto"/>
            <w:right w:val="none" w:sz="0" w:space="0" w:color="auto"/>
          </w:divBdr>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69404180">
      <w:bodyDiv w:val="1"/>
      <w:marLeft w:val="0"/>
      <w:marRight w:val="0"/>
      <w:marTop w:val="0"/>
      <w:marBottom w:val="0"/>
      <w:divBdr>
        <w:top w:val="none" w:sz="0" w:space="0" w:color="auto"/>
        <w:left w:val="none" w:sz="0" w:space="0" w:color="auto"/>
        <w:bottom w:val="none" w:sz="0" w:space="0" w:color="auto"/>
        <w:right w:val="none" w:sz="0" w:space="0" w:color="auto"/>
      </w:divBdr>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15739320">
      <w:bodyDiv w:val="1"/>
      <w:marLeft w:val="0"/>
      <w:marRight w:val="0"/>
      <w:marTop w:val="0"/>
      <w:marBottom w:val="0"/>
      <w:divBdr>
        <w:top w:val="none" w:sz="0" w:space="0" w:color="auto"/>
        <w:left w:val="none" w:sz="0" w:space="0" w:color="auto"/>
        <w:bottom w:val="none" w:sz="0" w:space="0" w:color="auto"/>
        <w:right w:val="none" w:sz="0" w:space="0" w:color="auto"/>
      </w:divBdr>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4056">
      <w:bodyDiv w:val="1"/>
      <w:marLeft w:val="0"/>
      <w:marRight w:val="0"/>
      <w:marTop w:val="0"/>
      <w:marBottom w:val="0"/>
      <w:divBdr>
        <w:top w:val="none" w:sz="0" w:space="0" w:color="auto"/>
        <w:left w:val="none" w:sz="0" w:space="0" w:color="auto"/>
        <w:bottom w:val="none" w:sz="0" w:space="0" w:color="auto"/>
        <w:right w:val="none" w:sz="0" w:space="0" w:color="auto"/>
      </w:divBdr>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60777751">
      <w:bodyDiv w:val="1"/>
      <w:marLeft w:val="0"/>
      <w:marRight w:val="0"/>
      <w:marTop w:val="0"/>
      <w:marBottom w:val="0"/>
      <w:divBdr>
        <w:top w:val="none" w:sz="0" w:space="0" w:color="auto"/>
        <w:left w:val="none" w:sz="0" w:space="0" w:color="auto"/>
        <w:bottom w:val="none" w:sz="0" w:space="0" w:color="auto"/>
        <w:right w:val="none" w:sz="0" w:space="0" w:color="auto"/>
      </w:divBdr>
    </w:div>
    <w:div w:id="1866673234">
      <w:bodyDiv w:val="1"/>
      <w:marLeft w:val="0"/>
      <w:marRight w:val="0"/>
      <w:marTop w:val="0"/>
      <w:marBottom w:val="0"/>
      <w:divBdr>
        <w:top w:val="none" w:sz="0" w:space="0" w:color="auto"/>
        <w:left w:val="none" w:sz="0" w:space="0" w:color="auto"/>
        <w:bottom w:val="none" w:sz="0" w:space="0" w:color="auto"/>
        <w:right w:val="none" w:sz="0" w:space="0" w:color="auto"/>
      </w:divBdr>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25919509">
      <w:bodyDiv w:val="1"/>
      <w:marLeft w:val="0"/>
      <w:marRight w:val="0"/>
      <w:marTop w:val="0"/>
      <w:marBottom w:val="0"/>
      <w:divBdr>
        <w:top w:val="none" w:sz="0" w:space="0" w:color="auto"/>
        <w:left w:val="none" w:sz="0" w:space="0" w:color="auto"/>
        <w:bottom w:val="none" w:sz="0" w:space="0" w:color="auto"/>
        <w:right w:val="none" w:sz="0" w:space="0" w:color="auto"/>
      </w:divBdr>
      <w:divsChild>
        <w:div w:id="1308124810">
          <w:marLeft w:val="0"/>
          <w:marRight w:val="0"/>
          <w:marTop w:val="0"/>
          <w:marBottom w:val="0"/>
          <w:divBdr>
            <w:top w:val="none" w:sz="0" w:space="0" w:color="auto"/>
            <w:left w:val="none" w:sz="0" w:space="0" w:color="auto"/>
            <w:bottom w:val="none" w:sz="0" w:space="0" w:color="auto"/>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1D5C-7BD8-44E2-BF65-AD3B2B8E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Links>
    <vt:vector size="6" baseType="variant">
      <vt:variant>
        <vt:i4>6946937</vt:i4>
      </vt:variant>
      <vt:variant>
        <vt:i4>81</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Bayliss</dc:creator>
  <cp:lastModifiedBy>Christi Drum</cp:lastModifiedBy>
  <cp:revision>13</cp:revision>
  <cp:lastPrinted>2009-11-22T03:45:00Z</cp:lastPrinted>
  <dcterms:created xsi:type="dcterms:W3CDTF">2023-11-16T19:13:00Z</dcterms:created>
  <dcterms:modified xsi:type="dcterms:W3CDTF">2024-01-30T15:40:00Z</dcterms:modified>
</cp:coreProperties>
</file>