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34101" w14:textId="7BB425B6" w:rsidR="00FF7D37" w:rsidRPr="007F3947" w:rsidRDefault="006447B6" w:rsidP="007F3947">
      <w:pPr>
        <w:widowControl w:val="0"/>
        <w:autoSpaceDE w:val="0"/>
        <w:autoSpaceDN w:val="0"/>
        <w:adjustRightInd w:val="0"/>
        <w:spacing w:after="0" w:afterAutospacing="1" w:line="240" w:lineRule="auto"/>
        <w:rPr>
          <w:rFonts w:ascii="Times New Roman" w:eastAsia="Calibri" w:hAnsi="Times New Roman" w:cs="Times New Roman"/>
          <w:color w:val="000000"/>
          <w:sz w:val="24"/>
          <w:szCs w:val="24"/>
        </w:rPr>
      </w:pPr>
      <w:r>
        <w:rPr>
          <w:rFonts w:ascii="Times New Roman" w:hAnsi="Times New Roman"/>
          <w:sz w:val="24"/>
          <w:szCs w:val="24"/>
        </w:rPr>
        <w:fldChar w:fldCharType="begin"/>
      </w:r>
      <w:r>
        <w:rPr>
          <w:rFonts w:ascii="Times New Roman" w:hAnsi="Times New Roman"/>
          <w:sz w:val="24"/>
          <w:szCs w:val="24"/>
        </w:rPr>
        <w:instrText xml:space="preserve"> MERGEFIELD TableStart:PATIENTINFO </w:instrText>
      </w:r>
      <w:r>
        <w:rPr>
          <w:rFonts w:ascii="Times New Roman" w:hAnsi="Times New Roman"/>
          <w:sz w:val="24"/>
          <w:szCs w:val="24"/>
        </w:rPr>
        <w:fldChar w:fldCharType="separate"/>
      </w:r>
      <w:r>
        <w:rPr>
          <w:rFonts w:ascii="Times New Roman" w:hAnsi="Times New Roman"/>
          <w:noProof/>
          <w:sz w:val="24"/>
          <w:szCs w:val="24"/>
        </w:rPr>
        <w:t>«TableStart:PATIENTINFO»</w:t>
      </w:r>
      <w:r>
        <w:rPr>
          <w:rFonts w:ascii="Times New Roman" w:hAnsi="Times New Roman"/>
          <w:sz w:val="24"/>
          <w:szCs w:val="24"/>
        </w:rPr>
        <w:fldChar w:fldCharType="end"/>
      </w:r>
    </w:p>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6324"/>
      </w:tblGrid>
      <w:tr w:rsidR="007F3947" w:rsidRPr="007F3947" w14:paraId="1B8C6B06" w14:textId="77777777" w:rsidTr="00836DF5">
        <w:trPr>
          <w:trHeight w:val="288"/>
        </w:trPr>
        <w:tc>
          <w:tcPr>
            <w:tcW w:w="1663" w:type="pct"/>
            <w:shd w:val="clear" w:color="auto" w:fill="D9D9D9"/>
            <w:vAlign w:val="center"/>
          </w:tcPr>
          <w:p w14:paraId="48C8F114" w14:textId="77777777" w:rsidR="007F3947" w:rsidRPr="007F3947" w:rsidRDefault="007F3947" w:rsidP="007F3947">
            <w:pPr>
              <w:spacing w:after="0" w:line="240" w:lineRule="auto"/>
              <w:rPr>
                <w:rFonts w:ascii="Times New Roman" w:eastAsia="Calibri" w:hAnsi="Times New Roman" w:cs="Times New Roman"/>
                <w:b/>
                <w:sz w:val="24"/>
              </w:rPr>
            </w:pPr>
            <w:bookmarkStart w:id="0" w:name="OLE_LINK1"/>
            <w:bookmarkStart w:id="1" w:name="OLE_LINK2"/>
            <w:r w:rsidRPr="007F3947">
              <w:rPr>
                <w:rFonts w:ascii="Times New Roman" w:eastAsia="Calibri" w:hAnsi="Times New Roman" w:cs="Times New Roman"/>
                <w:b/>
                <w:sz w:val="24"/>
              </w:rPr>
              <w:t>Beneficiary Name</w:t>
            </w:r>
          </w:p>
        </w:tc>
        <w:tc>
          <w:tcPr>
            <w:tcW w:w="3337" w:type="pct"/>
            <w:shd w:val="clear" w:color="auto" w:fill="auto"/>
            <w:vAlign w:val="center"/>
          </w:tcPr>
          <w:p w14:paraId="5FD578E9" w14:textId="77777777" w:rsidR="007F3947" w:rsidRPr="007F3947" w:rsidRDefault="007F3947" w:rsidP="007F3947">
            <w:pPr>
              <w:spacing w:after="0" w:line="240" w:lineRule="auto"/>
              <w:rPr>
                <w:rFonts w:ascii="Times New Roman" w:eastAsia="Calibri" w:hAnsi="Times New Roman" w:cs="Times New Roman"/>
                <w:sz w:val="24"/>
              </w:rPr>
            </w:pPr>
            <w:r w:rsidRPr="007F3947">
              <w:rPr>
                <w:rFonts w:ascii="Times New Roman" w:eastAsia="Calibri" w:hAnsi="Times New Roman" w:cs="Times New Roman"/>
                <w:sz w:val="24"/>
              </w:rPr>
              <w:fldChar w:fldCharType="begin"/>
            </w:r>
            <w:r w:rsidRPr="007F3947">
              <w:rPr>
                <w:rFonts w:ascii="Times New Roman" w:eastAsia="Calibri" w:hAnsi="Times New Roman" w:cs="Times New Roman"/>
                <w:sz w:val="24"/>
              </w:rPr>
              <w:instrText xml:space="preserve"> MERGEFIELD </w:instrText>
            </w:r>
            <w:r w:rsidRPr="007F3947">
              <w:rPr>
                <w:rFonts w:ascii="Times New Roman" w:eastAsia="Calibri" w:hAnsi="Times New Roman" w:cs="Times New Roman"/>
                <w:bCs/>
                <w:sz w:val="24"/>
                <w:lang w:bidi="en-US"/>
              </w:rPr>
              <w:instrText>PAT_Full_Name</w:instrText>
            </w:r>
            <w:r w:rsidRPr="007F3947">
              <w:rPr>
                <w:rFonts w:ascii="Times New Roman" w:eastAsia="Calibri" w:hAnsi="Times New Roman" w:cs="Times New Roman"/>
                <w:sz w:val="24"/>
              </w:rPr>
              <w:instrText xml:space="preserve"> </w:instrText>
            </w:r>
            <w:r w:rsidRPr="007F3947">
              <w:rPr>
                <w:rFonts w:ascii="Times New Roman" w:eastAsia="Calibri" w:hAnsi="Times New Roman" w:cs="Times New Roman"/>
                <w:sz w:val="24"/>
              </w:rPr>
              <w:fldChar w:fldCharType="separate"/>
            </w:r>
            <w:r w:rsidRPr="007F3947">
              <w:rPr>
                <w:rFonts w:ascii="Times New Roman" w:eastAsia="Calibri" w:hAnsi="Times New Roman" w:cs="Times New Roman"/>
                <w:noProof/>
                <w:sz w:val="24"/>
              </w:rPr>
              <w:t>«PAT_Full_Name»</w:t>
            </w:r>
            <w:r w:rsidRPr="007F3947">
              <w:rPr>
                <w:rFonts w:ascii="Times New Roman" w:eastAsia="Calibri" w:hAnsi="Times New Roman" w:cs="Times New Roman"/>
                <w:sz w:val="24"/>
              </w:rPr>
              <w:fldChar w:fldCharType="end"/>
            </w:r>
          </w:p>
        </w:tc>
      </w:tr>
      <w:tr w:rsidR="007F3947" w:rsidRPr="007F3947" w14:paraId="0A87C964" w14:textId="77777777" w:rsidTr="00836DF5">
        <w:trPr>
          <w:trHeight w:val="288"/>
        </w:trPr>
        <w:tc>
          <w:tcPr>
            <w:tcW w:w="1663" w:type="pct"/>
            <w:shd w:val="clear" w:color="auto" w:fill="D9D9D9"/>
            <w:vAlign w:val="center"/>
          </w:tcPr>
          <w:p w14:paraId="74F279A0" w14:textId="77777777" w:rsidR="007F3947" w:rsidRPr="007F3947" w:rsidRDefault="007F3947" w:rsidP="007F3947">
            <w:pPr>
              <w:spacing w:after="0" w:line="240" w:lineRule="auto"/>
              <w:rPr>
                <w:rFonts w:ascii="Times New Roman" w:eastAsia="Calibri" w:hAnsi="Times New Roman" w:cs="Times New Roman"/>
                <w:b/>
                <w:sz w:val="24"/>
              </w:rPr>
            </w:pPr>
            <w:r w:rsidRPr="007F3947">
              <w:rPr>
                <w:rFonts w:ascii="Times New Roman" w:eastAsia="Calibri" w:hAnsi="Times New Roman" w:cs="Times New Roman"/>
                <w:b/>
                <w:sz w:val="24"/>
              </w:rPr>
              <w:t xml:space="preserve">Member ID or </w:t>
            </w:r>
          </w:p>
          <w:p w14:paraId="1530F506" w14:textId="77777777" w:rsidR="007F3947" w:rsidRPr="007F3947" w:rsidRDefault="00147280" w:rsidP="007F3947">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MBI</w:t>
            </w:r>
            <w:r w:rsidR="007F3947" w:rsidRPr="007F3947">
              <w:rPr>
                <w:rFonts w:ascii="Times New Roman" w:eastAsia="Calibri" w:hAnsi="Times New Roman" w:cs="Times New Roman"/>
                <w:b/>
                <w:sz w:val="24"/>
              </w:rPr>
              <w:t xml:space="preserve"> Number</w:t>
            </w:r>
          </w:p>
        </w:tc>
        <w:tc>
          <w:tcPr>
            <w:tcW w:w="3337" w:type="pct"/>
            <w:shd w:val="clear" w:color="auto" w:fill="auto"/>
            <w:vAlign w:val="center"/>
          </w:tcPr>
          <w:p w14:paraId="1234B170" w14:textId="77777777" w:rsidR="007F3947" w:rsidRPr="007F3947" w:rsidRDefault="007F3947" w:rsidP="007F3947">
            <w:pPr>
              <w:spacing w:after="0" w:line="240" w:lineRule="auto"/>
              <w:rPr>
                <w:rFonts w:ascii="Times New Roman" w:eastAsia="Calibri" w:hAnsi="Times New Roman" w:cs="Times New Roman"/>
                <w:sz w:val="24"/>
              </w:rPr>
            </w:pPr>
            <w:r w:rsidRPr="007F3947">
              <w:rPr>
                <w:rFonts w:ascii="Times New Roman" w:eastAsia="Calibri" w:hAnsi="Times New Roman" w:cs="Times New Roman"/>
                <w:sz w:val="24"/>
              </w:rPr>
              <w:fldChar w:fldCharType="begin"/>
            </w:r>
            <w:r w:rsidRPr="007F3947">
              <w:rPr>
                <w:rFonts w:ascii="Times New Roman" w:eastAsia="Calibri" w:hAnsi="Times New Roman" w:cs="Times New Roman"/>
                <w:sz w:val="24"/>
              </w:rPr>
              <w:instrText xml:space="preserve"> MERGEFIELD MEMBER_ID </w:instrText>
            </w:r>
            <w:r w:rsidRPr="007F3947">
              <w:rPr>
                <w:rFonts w:ascii="Times New Roman" w:eastAsia="Calibri" w:hAnsi="Times New Roman" w:cs="Times New Roman"/>
                <w:sz w:val="24"/>
              </w:rPr>
              <w:fldChar w:fldCharType="separate"/>
            </w:r>
            <w:r w:rsidRPr="007F3947">
              <w:rPr>
                <w:rFonts w:ascii="Times New Roman" w:eastAsia="Calibri" w:hAnsi="Times New Roman" w:cs="Times New Roman"/>
                <w:noProof/>
                <w:sz w:val="24"/>
              </w:rPr>
              <w:t>«MEMBER_ID»</w:t>
            </w:r>
            <w:r w:rsidRPr="007F3947">
              <w:rPr>
                <w:rFonts w:ascii="Times New Roman" w:eastAsia="Calibri" w:hAnsi="Times New Roman" w:cs="Times New Roman"/>
                <w:noProof/>
                <w:sz w:val="24"/>
              </w:rPr>
              <w:fldChar w:fldCharType="end"/>
            </w:r>
          </w:p>
        </w:tc>
      </w:tr>
      <w:tr w:rsidR="007F3947" w:rsidRPr="007F3947" w14:paraId="6F7FEA07" w14:textId="77777777" w:rsidTr="00836DF5">
        <w:trPr>
          <w:trHeight w:val="288"/>
        </w:trPr>
        <w:tc>
          <w:tcPr>
            <w:tcW w:w="1663" w:type="pct"/>
            <w:shd w:val="clear" w:color="auto" w:fill="D9D9D9"/>
            <w:vAlign w:val="center"/>
          </w:tcPr>
          <w:p w14:paraId="1645C18B" w14:textId="77777777" w:rsidR="007F3947" w:rsidRPr="007F3947" w:rsidRDefault="007F3947" w:rsidP="007F3947">
            <w:pPr>
              <w:spacing w:after="0" w:line="240" w:lineRule="auto"/>
              <w:rPr>
                <w:rFonts w:ascii="Times New Roman" w:eastAsia="Calibri" w:hAnsi="Times New Roman" w:cs="Times New Roman"/>
                <w:b/>
                <w:sz w:val="24"/>
              </w:rPr>
            </w:pPr>
            <w:r w:rsidRPr="007F3947">
              <w:rPr>
                <w:rFonts w:ascii="Times New Roman" w:eastAsia="Calibri" w:hAnsi="Times New Roman" w:cs="Times New Roman"/>
                <w:b/>
                <w:sz w:val="24"/>
              </w:rPr>
              <w:t>Claim Dates of Service</w:t>
            </w:r>
          </w:p>
        </w:tc>
        <w:tc>
          <w:tcPr>
            <w:tcW w:w="3337" w:type="pct"/>
            <w:shd w:val="clear" w:color="auto" w:fill="auto"/>
            <w:vAlign w:val="center"/>
          </w:tcPr>
          <w:p w14:paraId="0D1EBE87" w14:textId="77777777" w:rsidR="007F3947" w:rsidRPr="007F3947" w:rsidRDefault="007F3947" w:rsidP="007F3947">
            <w:pPr>
              <w:spacing w:after="0" w:line="240" w:lineRule="auto"/>
              <w:rPr>
                <w:rFonts w:ascii="Times New Roman" w:eastAsia="Calibri" w:hAnsi="Times New Roman" w:cs="Times New Roman"/>
                <w:i/>
                <w:sz w:val="24"/>
              </w:rPr>
            </w:pPr>
            <w:r w:rsidRPr="007F3947">
              <w:rPr>
                <w:rFonts w:ascii="Times New Roman" w:eastAsia="Calibri" w:hAnsi="Times New Roman" w:cs="Times New Roman"/>
                <w:sz w:val="24"/>
              </w:rPr>
              <w:fldChar w:fldCharType="begin"/>
            </w:r>
            <w:r w:rsidRPr="007F3947">
              <w:rPr>
                <w:rFonts w:ascii="Times New Roman" w:eastAsia="Calibri" w:hAnsi="Times New Roman" w:cs="Times New Roman"/>
                <w:sz w:val="24"/>
              </w:rPr>
              <w:instrText xml:space="preserve"> MERGEFIELD Svc_From </w:instrText>
            </w:r>
            <w:r w:rsidRPr="007F3947">
              <w:rPr>
                <w:rFonts w:ascii="Times New Roman" w:eastAsia="Calibri" w:hAnsi="Times New Roman" w:cs="Times New Roman"/>
                <w:sz w:val="24"/>
              </w:rPr>
              <w:fldChar w:fldCharType="separate"/>
            </w:r>
            <w:r w:rsidRPr="007F3947">
              <w:rPr>
                <w:rFonts w:ascii="Times New Roman" w:eastAsia="Calibri" w:hAnsi="Times New Roman" w:cs="Times New Roman"/>
                <w:noProof/>
                <w:sz w:val="24"/>
              </w:rPr>
              <w:t>«Svc_From»</w:t>
            </w:r>
            <w:r w:rsidRPr="007F3947">
              <w:rPr>
                <w:rFonts w:ascii="Times New Roman" w:eastAsia="Calibri" w:hAnsi="Times New Roman" w:cs="Times New Roman"/>
                <w:noProof/>
                <w:sz w:val="24"/>
              </w:rPr>
              <w:fldChar w:fldCharType="end"/>
            </w:r>
            <w:r w:rsidRPr="007F3947">
              <w:rPr>
                <w:rFonts w:ascii="Times New Roman" w:eastAsia="Calibri" w:hAnsi="Times New Roman" w:cs="Times New Roman"/>
                <w:sz w:val="24"/>
              </w:rPr>
              <w:t xml:space="preserve"> - </w:t>
            </w:r>
            <w:r w:rsidRPr="007F3947">
              <w:rPr>
                <w:rFonts w:ascii="Times New Roman" w:eastAsia="Calibri" w:hAnsi="Times New Roman" w:cs="Times New Roman"/>
                <w:sz w:val="24"/>
              </w:rPr>
              <w:fldChar w:fldCharType="begin"/>
            </w:r>
            <w:r w:rsidRPr="007F3947">
              <w:rPr>
                <w:rFonts w:ascii="Times New Roman" w:eastAsia="Calibri" w:hAnsi="Times New Roman" w:cs="Times New Roman"/>
                <w:sz w:val="24"/>
              </w:rPr>
              <w:instrText xml:space="preserve"> MERGEFIELD Svc_To </w:instrText>
            </w:r>
            <w:r w:rsidRPr="007F3947">
              <w:rPr>
                <w:rFonts w:ascii="Times New Roman" w:eastAsia="Calibri" w:hAnsi="Times New Roman" w:cs="Times New Roman"/>
                <w:sz w:val="24"/>
              </w:rPr>
              <w:fldChar w:fldCharType="separate"/>
            </w:r>
            <w:r w:rsidRPr="007F3947">
              <w:rPr>
                <w:rFonts w:ascii="Times New Roman" w:eastAsia="Calibri" w:hAnsi="Times New Roman" w:cs="Times New Roman"/>
                <w:noProof/>
                <w:sz w:val="24"/>
              </w:rPr>
              <w:t>«Svc_To»</w:t>
            </w:r>
            <w:r w:rsidRPr="007F3947">
              <w:rPr>
                <w:rFonts w:ascii="Times New Roman" w:eastAsia="Calibri" w:hAnsi="Times New Roman" w:cs="Times New Roman"/>
                <w:noProof/>
                <w:sz w:val="24"/>
              </w:rPr>
              <w:fldChar w:fldCharType="end"/>
            </w:r>
          </w:p>
        </w:tc>
      </w:tr>
      <w:tr w:rsidR="007F3947" w:rsidRPr="007F3947" w14:paraId="729DCD8D" w14:textId="77777777" w:rsidTr="00836DF5">
        <w:trPr>
          <w:trHeight w:val="288"/>
        </w:trPr>
        <w:tc>
          <w:tcPr>
            <w:tcW w:w="1663" w:type="pct"/>
            <w:shd w:val="clear" w:color="auto" w:fill="D9D9D9"/>
            <w:vAlign w:val="center"/>
          </w:tcPr>
          <w:p w14:paraId="1941F619" w14:textId="77777777" w:rsidR="007F3947" w:rsidRPr="007F3947" w:rsidRDefault="007F3947" w:rsidP="007F3947">
            <w:pPr>
              <w:spacing w:after="0" w:line="240" w:lineRule="auto"/>
              <w:rPr>
                <w:rFonts w:ascii="Times New Roman" w:eastAsia="Calibri" w:hAnsi="Times New Roman" w:cs="Times New Roman"/>
                <w:b/>
                <w:sz w:val="24"/>
              </w:rPr>
            </w:pPr>
            <w:r w:rsidRPr="007F3947">
              <w:rPr>
                <w:rFonts w:ascii="Times New Roman" w:eastAsia="Calibri" w:hAnsi="Times New Roman" w:cs="Times New Roman"/>
                <w:b/>
                <w:sz w:val="24"/>
              </w:rPr>
              <w:t>Reason(s) for Denial</w:t>
            </w:r>
          </w:p>
        </w:tc>
        <w:tc>
          <w:tcPr>
            <w:tcW w:w="3337" w:type="pct"/>
            <w:shd w:val="clear" w:color="auto" w:fill="auto"/>
            <w:vAlign w:val="center"/>
          </w:tcPr>
          <w:p w14:paraId="128AD1C2" w14:textId="77777777" w:rsidR="007F3947" w:rsidRPr="007F3947" w:rsidRDefault="007F3947" w:rsidP="007F3947">
            <w:pPr>
              <w:spacing w:after="0" w:line="240" w:lineRule="auto"/>
              <w:rPr>
                <w:rFonts w:ascii="Times New Roman" w:eastAsia="Calibri" w:hAnsi="Times New Roman" w:cs="Times New Roman"/>
                <w:sz w:val="24"/>
              </w:rPr>
            </w:pPr>
            <w:r w:rsidRPr="007F3947">
              <w:rPr>
                <w:rFonts w:ascii="Times New Roman" w:eastAsia="Calibri" w:hAnsi="Times New Roman" w:cs="Times New Roman"/>
                <w:sz w:val="24"/>
              </w:rPr>
              <w:t xml:space="preserve">Allegation: Lack of clinical documentation to support the inclusion of </w:t>
            </w:r>
            <w:r w:rsidRPr="007F3947">
              <w:rPr>
                <w:rFonts w:ascii="Times New Roman" w:eastAsia="Calibri" w:hAnsi="Times New Roman" w:cs="Times New Roman"/>
                <w:i/>
                <w:color w:val="FF0000"/>
                <w:sz w:val="24"/>
              </w:rPr>
              <w:t>specify diagnosis</w:t>
            </w:r>
            <w:r w:rsidRPr="007F3947">
              <w:rPr>
                <w:rFonts w:ascii="Times New Roman" w:eastAsia="Calibri" w:hAnsi="Times New Roman" w:cs="Times New Roman"/>
                <w:sz w:val="24"/>
              </w:rPr>
              <w:t xml:space="preserve"> as a valid diagnosis on the claim</w:t>
            </w:r>
          </w:p>
        </w:tc>
      </w:tr>
      <w:tr w:rsidR="007F3947" w:rsidRPr="007F3947" w14:paraId="49027238" w14:textId="77777777" w:rsidTr="00836DF5">
        <w:trPr>
          <w:trHeight w:val="288"/>
        </w:trPr>
        <w:tc>
          <w:tcPr>
            <w:tcW w:w="1663" w:type="pct"/>
            <w:shd w:val="clear" w:color="auto" w:fill="D9D9D9"/>
          </w:tcPr>
          <w:p w14:paraId="2AE37E67" w14:textId="77777777" w:rsidR="007F3947" w:rsidRPr="007F3947" w:rsidRDefault="007F3947" w:rsidP="007F3947">
            <w:pPr>
              <w:spacing w:after="0" w:line="240" w:lineRule="auto"/>
              <w:rPr>
                <w:rFonts w:ascii="Times New Roman" w:eastAsia="Calibri" w:hAnsi="Times New Roman" w:cs="Times New Roman"/>
                <w:b/>
                <w:sz w:val="24"/>
              </w:rPr>
            </w:pPr>
            <w:r w:rsidRPr="007F3947">
              <w:rPr>
                <w:rFonts w:ascii="Times New Roman" w:eastAsia="Calibri" w:hAnsi="Times New Roman" w:cs="Times New Roman"/>
                <w:b/>
                <w:sz w:val="24"/>
              </w:rPr>
              <w:t>Reimbursement Change</w:t>
            </w:r>
          </w:p>
        </w:tc>
        <w:tc>
          <w:tcPr>
            <w:tcW w:w="3337" w:type="pct"/>
            <w:shd w:val="clear" w:color="auto" w:fill="auto"/>
          </w:tcPr>
          <w:p w14:paraId="747509B6" w14:textId="77777777" w:rsidR="007F3947" w:rsidRPr="007F3947" w:rsidRDefault="007F3947" w:rsidP="007F3947">
            <w:pPr>
              <w:spacing w:after="0" w:line="240" w:lineRule="auto"/>
              <w:rPr>
                <w:rFonts w:ascii="Times New Roman" w:eastAsia="Calibri" w:hAnsi="Times New Roman" w:cs="Times New Roman"/>
                <w:i/>
                <w:sz w:val="24"/>
              </w:rPr>
            </w:pPr>
            <w:r w:rsidRPr="007F3947">
              <w:rPr>
                <w:rFonts w:ascii="Times New Roman" w:eastAsia="Calibri" w:hAnsi="Times New Roman" w:cs="Times New Roman"/>
                <w:sz w:val="24"/>
              </w:rPr>
              <w:t xml:space="preserve">Reassignment of DRG </w:t>
            </w:r>
            <w:r w:rsidRPr="007F3947">
              <w:rPr>
                <w:rFonts w:ascii="Times New Roman" w:eastAsia="Calibri" w:hAnsi="Times New Roman" w:cs="Times New Roman"/>
                <w:i/>
                <w:color w:val="FF0000"/>
                <w:sz w:val="24"/>
              </w:rPr>
              <w:t>specify original DRG number and description</w:t>
            </w:r>
            <w:r w:rsidRPr="007F3947">
              <w:rPr>
                <w:rFonts w:ascii="Times New Roman" w:eastAsia="Calibri" w:hAnsi="Times New Roman" w:cs="Times New Roman"/>
                <w:sz w:val="24"/>
              </w:rPr>
              <w:t xml:space="preserve"> to DRG </w:t>
            </w:r>
            <w:r w:rsidRPr="007F3947">
              <w:rPr>
                <w:rFonts w:ascii="Times New Roman" w:eastAsia="Calibri" w:hAnsi="Times New Roman" w:cs="Times New Roman"/>
                <w:i/>
                <w:color w:val="FF0000"/>
                <w:sz w:val="24"/>
              </w:rPr>
              <w:t>specify new DRG number and description</w:t>
            </w:r>
          </w:p>
        </w:tc>
      </w:tr>
      <w:tr w:rsidR="007F3947" w:rsidRPr="007F3947" w14:paraId="1BCB106D" w14:textId="77777777" w:rsidTr="00836DF5">
        <w:trPr>
          <w:trHeight w:val="288"/>
        </w:trPr>
        <w:tc>
          <w:tcPr>
            <w:tcW w:w="1663" w:type="pct"/>
            <w:shd w:val="clear" w:color="auto" w:fill="D9D9D9"/>
          </w:tcPr>
          <w:p w14:paraId="7DE4A5C8" w14:textId="77777777" w:rsidR="007F3947" w:rsidRPr="007F3947" w:rsidRDefault="007F3947" w:rsidP="007F3947">
            <w:pPr>
              <w:spacing w:after="0" w:line="240" w:lineRule="auto"/>
              <w:rPr>
                <w:rFonts w:ascii="Times New Roman" w:eastAsia="Calibri" w:hAnsi="Times New Roman" w:cs="Times New Roman"/>
                <w:b/>
                <w:sz w:val="24"/>
              </w:rPr>
            </w:pPr>
            <w:r w:rsidRPr="007F3947">
              <w:rPr>
                <w:rFonts w:ascii="Times New Roman" w:eastAsia="Calibri" w:hAnsi="Times New Roman" w:cs="Times New Roman"/>
                <w:b/>
                <w:sz w:val="24"/>
              </w:rPr>
              <w:t>Principal or Secondary Diagnosis in Question</w:t>
            </w:r>
          </w:p>
        </w:tc>
        <w:tc>
          <w:tcPr>
            <w:tcW w:w="3337" w:type="pct"/>
            <w:shd w:val="clear" w:color="auto" w:fill="auto"/>
          </w:tcPr>
          <w:p w14:paraId="47B8E8E2" w14:textId="77777777" w:rsidR="007F3947" w:rsidRPr="007F3947" w:rsidRDefault="007F3947" w:rsidP="007F3947">
            <w:pPr>
              <w:spacing w:after="0" w:line="240" w:lineRule="auto"/>
              <w:rPr>
                <w:rFonts w:ascii="Times New Roman" w:eastAsia="Calibri" w:hAnsi="Times New Roman" w:cs="Times New Roman"/>
                <w:sz w:val="24"/>
              </w:rPr>
            </w:pPr>
            <w:r w:rsidRPr="007F3947">
              <w:rPr>
                <w:rFonts w:ascii="Times New Roman" w:eastAsia="Calibri" w:hAnsi="Times New Roman" w:cs="Times New Roman"/>
                <w:sz w:val="24"/>
              </w:rPr>
              <w:t>ICD-</w:t>
            </w:r>
            <w:r w:rsidRPr="001E3E6D">
              <w:rPr>
                <w:rFonts w:ascii="Times New Roman" w:eastAsia="Calibri" w:hAnsi="Times New Roman" w:cs="Times New Roman"/>
                <w:sz w:val="24"/>
              </w:rPr>
              <w:t>10</w:t>
            </w:r>
            <w:r w:rsidRPr="007F3947">
              <w:rPr>
                <w:rFonts w:ascii="Times New Roman" w:eastAsia="Calibri" w:hAnsi="Times New Roman" w:cs="Times New Roman"/>
                <w:sz w:val="24"/>
              </w:rPr>
              <w:t xml:space="preserve">-CM </w:t>
            </w:r>
            <w:r w:rsidRPr="007F3947">
              <w:rPr>
                <w:rFonts w:ascii="Times New Roman" w:eastAsia="Calibri" w:hAnsi="Times New Roman" w:cs="Times New Roman"/>
                <w:i/>
                <w:color w:val="FF0000"/>
                <w:sz w:val="24"/>
              </w:rPr>
              <w:t>specify diagnosis or dia</w:t>
            </w:r>
            <w:r w:rsidR="001E3E6D">
              <w:rPr>
                <w:rFonts w:ascii="Times New Roman" w:eastAsia="Calibri" w:hAnsi="Times New Roman" w:cs="Times New Roman"/>
                <w:i/>
                <w:color w:val="FF0000"/>
                <w:sz w:val="24"/>
              </w:rPr>
              <w:t xml:space="preserve">gnoses in question with </w:t>
            </w:r>
            <w:r w:rsidRPr="007F3947">
              <w:rPr>
                <w:rFonts w:ascii="Times New Roman" w:eastAsia="Calibri" w:hAnsi="Times New Roman" w:cs="Times New Roman"/>
                <w:i/>
                <w:color w:val="FF0000"/>
                <w:sz w:val="24"/>
              </w:rPr>
              <w:t>ICD-10 number and description</w:t>
            </w:r>
          </w:p>
        </w:tc>
      </w:tr>
      <w:bookmarkEnd w:id="0"/>
      <w:bookmarkEnd w:id="1"/>
    </w:tbl>
    <w:p w14:paraId="5841F5C5" w14:textId="77777777" w:rsidR="007F3947" w:rsidRDefault="007F3947" w:rsidP="00DA2A7D">
      <w:pPr>
        <w:pStyle w:val="NoSpacing"/>
      </w:pPr>
    </w:p>
    <w:p w14:paraId="1D035EA0" w14:textId="73D808A9" w:rsidR="00885C8B" w:rsidRDefault="00C6201D" w:rsidP="002C73A6">
      <w:pPr>
        <w:pStyle w:val="NoSpacing"/>
        <w:rPr>
          <w:b/>
          <w:bCs/>
        </w:rPr>
      </w:pPr>
      <w:r w:rsidRPr="00C315F2">
        <w:rPr>
          <w:rFonts w:eastAsia="Calibri" w:cs="Times New Roman"/>
          <w:b/>
          <w:bCs/>
          <w:szCs w:val="24"/>
        </w:rPr>
        <w:fldChar w:fldCharType="begin"/>
      </w:r>
      <w:r w:rsidRPr="00C315F2">
        <w:rPr>
          <w:rFonts w:eastAsia="Calibri" w:cs="Times New Roman"/>
          <w:b/>
          <w:bCs/>
          <w:szCs w:val="24"/>
        </w:rPr>
        <w:instrText xml:space="preserve"> MERGEFIELD Facility </w:instrText>
      </w:r>
      <w:r w:rsidRPr="00C315F2">
        <w:rPr>
          <w:rFonts w:eastAsia="Calibri" w:cs="Times New Roman"/>
          <w:b/>
          <w:bCs/>
          <w:szCs w:val="24"/>
        </w:rPr>
        <w:fldChar w:fldCharType="separate"/>
      </w:r>
      <w:r w:rsidRPr="00C315F2">
        <w:rPr>
          <w:rFonts w:eastAsia="Calibri" w:cs="Times New Roman"/>
          <w:b/>
          <w:bCs/>
          <w:noProof/>
          <w:szCs w:val="24"/>
        </w:rPr>
        <w:t>«Facility»</w:t>
      </w:r>
      <w:r w:rsidRPr="00C315F2">
        <w:rPr>
          <w:rFonts w:eastAsia="Calibri" w:cs="Times New Roman"/>
          <w:b/>
          <w:bCs/>
          <w:szCs w:val="24"/>
        </w:rPr>
        <w:fldChar w:fldCharType="end"/>
      </w:r>
      <w:r w:rsidRPr="00C315F2">
        <w:rPr>
          <w:rFonts w:eastAsia="Calibri" w:cs="Times New Roman"/>
          <w:b/>
          <w:bCs/>
          <w:szCs w:val="24"/>
        </w:rPr>
        <w:t xml:space="preserve"> </w:t>
      </w:r>
      <w:r w:rsidR="00885C8B">
        <w:rPr>
          <w:b/>
          <w:bCs/>
        </w:rPr>
        <w:t xml:space="preserve">requests inclusion of </w:t>
      </w:r>
      <w:r w:rsidR="00885C8B">
        <w:rPr>
          <w:b/>
          <w:bCs/>
          <w:color w:val="FF0000"/>
        </w:rPr>
        <w:t xml:space="preserve">_ </w:t>
      </w:r>
      <w:r w:rsidR="00885C8B">
        <w:rPr>
          <w:b/>
          <w:bCs/>
        </w:rPr>
        <w:t xml:space="preserve">as a </w:t>
      </w:r>
      <w:r w:rsidR="00885C8B">
        <w:rPr>
          <w:b/>
          <w:bCs/>
          <w:color w:val="FF0000"/>
        </w:rPr>
        <w:t>pri</w:t>
      </w:r>
      <w:r>
        <w:rPr>
          <w:b/>
          <w:bCs/>
          <w:color w:val="FF0000"/>
        </w:rPr>
        <w:t>ncipal</w:t>
      </w:r>
      <w:r w:rsidR="00885C8B">
        <w:rPr>
          <w:b/>
          <w:bCs/>
          <w:color w:val="FF0000"/>
        </w:rPr>
        <w:t>/secondary</w:t>
      </w:r>
      <w:r w:rsidR="00885C8B">
        <w:rPr>
          <w:b/>
          <w:bCs/>
        </w:rPr>
        <w:t xml:space="preserve"> diagnosis code resulting in DRG </w:t>
      </w:r>
      <w:r w:rsidR="00885C8B">
        <w:rPr>
          <w:b/>
          <w:bCs/>
          <w:color w:val="FF0000"/>
        </w:rPr>
        <w:t xml:space="preserve">__ </w:t>
      </w:r>
      <w:r w:rsidR="00885C8B">
        <w:rPr>
          <w:b/>
          <w:bCs/>
        </w:rPr>
        <w:t>as originally billed.</w:t>
      </w:r>
    </w:p>
    <w:p w14:paraId="44456A42" w14:textId="712113D9" w:rsidR="00885C8B" w:rsidRDefault="00885C8B" w:rsidP="00DA2A7D">
      <w:pPr>
        <w:pStyle w:val="NoSpacing"/>
      </w:pPr>
    </w:p>
    <w:p w14:paraId="757E6E0A" w14:textId="496A23C8" w:rsidR="004B3FE7" w:rsidRPr="00C53188" w:rsidRDefault="00552964" w:rsidP="00DA2A7D">
      <w:pPr>
        <w:pStyle w:val="NoSpacing"/>
        <w:rPr>
          <w:iCs/>
        </w:rPr>
      </w:pPr>
      <w:r w:rsidRPr="00DA2A7D">
        <w:t xml:space="preserve">Below are significant medical record entries pertaining to </w:t>
      </w:r>
      <w:r w:rsidRPr="00DA2A7D">
        <w:fldChar w:fldCharType="begin"/>
      </w:r>
      <w:r w:rsidRPr="00DA2A7D">
        <w:instrText xml:space="preserve"> MERGEFIELD </w:instrText>
      </w:r>
      <w:r w:rsidRPr="00DA2A7D">
        <w:rPr>
          <w:bCs/>
          <w:lang w:bidi="en-US"/>
        </w:rPr>
        <w:instrText>PAT_Full_Name</w:instrText>
      </w:r>
      <w:r w:rsidRPr="00DA2A7D">
        <w:instrText xml:space="preserve"> </w:instrText>
      </w:r>
      <w:r w:rsidRPr="00DA2A7D">
        <w:fldChar w:fldCharType="separate"/>
      </w:r>
      <w:r w:rsidRPr="00DA2A7D">
        <w:rPr>
          <w:noProof/>
        </w:rPr>
        <w:t>«PAT_Full_Name»</w:t>
      </w:r>
      <w:r w:rsidRPr="00DA2A7D">
        <w:fldChar w:fldCharType="end"/>
      </w:r>
      <w:r w:rsidRPr="00DA2A7D">
        <w:t>’s diagnosis of</w:t>
      </w:r>
      <w:r w:rsidR="003D6F29" w:rsidRPr="00DA2A7D">
        <w:t xml:space="preserve"> </w:t>
      </w:r>
      <w:r w:rsidR="003D6F29" w:rsidRPr="00C53188">
        <w:rPr>
          <w:iCs/>
          <w:color w:val="FF0000"/>
        </w:rPr>
        <w:t>Specify Diagnosis</w:t>
      </w:r>
      <w:r w:rsidRPr="00C53188">
        <w:rPr>
          <w:iCs/>
        </w:rPr>
        <w:t>:</w:t>
      </w:r>
      <w:r w:rsidR="007F3947" w:rsidRPr="00C53188">
        <w:rPr>
          <w:iCs/>
        </w:rPr>
        <w:t xml:space="preserve"> </w:t>
      </w:r>
    </w:p>
    <w:p w14:paraId="0E506FEB" w14:textId="77777777" w:rsidR="004B3FE7" w:rsidRPr="00552964" w:rsidRDefault="004B3FE7" w:rsidP="00DA2A7D">
      <w:pPr>
        <w:pStyle w:val="NoSpacing"/>
      </w:pPr>
    </w:p>
    <w:p w14:paraId="3EE24EA2" w14:textId="4D0BCE14" w:rsidR="00552964" w:rsidRPr="00552964" w:rsidRDefault="004B3FE7" w:rsidP="006447B6">
      <w:pPr>
        <w:pStyle w:val="NoSpacing"/>
        <w:jc w:val="center"/>
        <w:rPr>
          <w:b/>
        </w:rPr>
      </w:pPr>
      <w:r>
        <w:rPr>
          <w:b/>
        </w:rPr>
        <w:t>Interdisciplinary</w:t>
      </w:r>
      <w:r w:rsidR="003D6F29">
        <w:rPr>
          <w:b/>
        </w:rPr>
        <w:t xml:space="preserve"> </w:t>
      </w:r>
      <w:r w:rsidR="00552964" w:rsidRPr="00552964">
        <w:rPr>
          <w:b/>
        </w:rPr>
        <w:t>Documentation</w:t>
      </w:r>
    </w:p>
    <w:p w14:paraId="0AEF628A" w14:textId="77777777" w:rsidR="00552964" w:rsidRPr="00552964" w:rsidRDefault="00552964" w:rsidP="00DA2A7D">
      <w:pPr>
        <w:pStyle w:val="NoSpacing"/>
        <w:rPr>
          <w:i/>
          <w:color w:val="FF0000"/>
        </w:rPr>
      </w:pPr>
      <w:r w:rsidRPr="00552964">
        <w:rPr>
          <w:i/>
          <w:color w:val="FF0000"/>
        </w:rPr>
        <w:t>Please read the following directives in red, add appropriate documentation in the tables below, then delete all the instructions in red.</w:t>
      </w:r>
    </w:p>
    <w:p w14:paraId="1CA3F8C4" w14:textId="77777777" w:rsidR="00552964" w:rsidRPr="00552964" w:rsidRDefault="00552964" w:rsidP="00DA2A7D">
      <w:pPr>
        <w:pStyle w:val="NoSpacing"/>
      </w:pPr>
    </w:p>
    <w:p w14:paraId="2971D70B" w14:textId="03E521A8" w:rsidR="00286A5B" w:rsidRPr="00286A5B" w:rsidRDefault="00286A5B" w:rsidP="00286A5B">
      <w:pPr>
        <w:pStyle w:val="NoSpacing"/>
        <w:rPr>
          <w:b/>
          <w:bCs/>
          <w:iCs/>
          <w:color w:val="FF0000"/>
          <w:u w:val="single"/>
        </w:rPr>
      </w:pPr>
      <w:r>
        <w:rPr>
          <w:b/>
          <w:bCs/>
          <w:iCs/>
          <w:color w:val="FF0000"/>
          <w:u w:val="single"/>
        </w:rPr>
        <w:t>Newborn Small for Gestational Age</w:t>
      </w:r>
      <w:r w:rsidR="008A60DE">
        <w:rPr>
          <w:b/>
          <w:bCs/>
          <w:iCs/>
          <w:color w:val="FF0000"/>
          <w:u w:val="single"/>
        </w:rPr>
        <w:t>:</w:t>
      </w:r>
    </w:p>
    <w:p w14:paraId="0F538496" w14:textId="77777777" w:rsidR="00286A5B" w:rsidRPr="00286A5B" w:rsidRDefault="00286A5B" w:rsidP="00286A5B">
      <w:pPr>
        <w:pStyle w:val="NoSpacing"/>
        <w:numPr>
          <w:ilvl w:val="0"/>
          <w:numId w:val="26"/>
        </w:numPr>
        <w:rPr>
          <w:iCs/>
          <w:color w:val="FF0000"/>
        </w:rPr>
      </w:pPr>
      <w:r w:rsidRPr="00286A5B">
        <w:rPr>
          <w:b/>
          <w:bCs/>
          <w:iCs/>
          <w:color w:val="FF0000"/>
        </w:rPr>
        <w:t>Accurate Gestational Age Assessment:</w:t>
      </w:r>
    </w:p>
    <w:p w14:paraId="12121BD4" w14:textId="77777777" w:rsidR="00286A5B" w:rsidRPr="00286A5B" w:rsidRDefault="00286A5B" w:rsidP="00286A5B">
      <w:pPr>
        <w:pStyle w:val="NoSpacing"/>
        <w:numPr>
          <w:ilvl w:val="1"/>
          <w:numId w:val="26"/>
        </w:numPr>
        <w:rPr>
          <w:iCs/>
          <w:color w:val="FF0000"/>
        </w:rPr>
      </w:pPr>
      <w:r w:rsidRPr="00286A5B">
        <w:rPr>
          <w:iCs/>
          <w:color w:val="FF0000"/>
        </w:rPr>
        <w:t>Confirm the gestational age using reliable methods such as the date of the last menstrual period, early ultrasound measurements, or a combination of both.</w:t>
      </w:r>
    </w:p>
    <w:p w14:paraId="5BC2435E" w14:textId="77777777" w:rsidR="00286A5B" w:rsidRPr="00286A5B" w:rsidRDefault="00286A5B" w:rsidP="00286A5B">
      <w:pPr>
        <w:pStyle w:val="NoSpacing"/>
        <w:numPr>
          <w:ilvl w:val="0"/>
          <w:numId w:val="26"/>
        </w:numPr>
        <w:rPr>
          <w:iCs/>
          <w:color w:val="FF0000"/>
        </w:rPr>
      </w:pPr>
      <w:r w:rsidRPr="00286A5B">
        <w:rPr>
          <w:b/>
          <w:bCs/>
          <w:iCs/>
          <w:color w:val="FF0000"/>
        </w:rPr>
        <w:t>Anthropometric Measurements:</w:t>
      </w:r>
    </w:p>
    <w:p w14:paraId="469F658F" w14:textId="77777777" w:rsidR="00286A5B" w:rsidRPr="00286A5B" w:rsidRDefault="00286A5B" w:rsidP="00286A5B">
      <w:pPr>
        <w:pStyle w:val="NoSpacing"/>
        <w:numPr>
          <w:ilvl w:val="1"/>
          <w:numId w:val="26"/>
        </w:numPr>
        <w:rPr>
          <w:iCs/>
          <w:color w:val="FF0000"/>
        </w:rPr>
      </w:pPr>
      <w:r w:rsidRPr="00286A5B">
        <w:rPr>
          <w:iCs/>
          <w:color w:val="FF0000"/>
        </w:rPr>
        <w:t>Measure the neonate's weight, length, and head circumference at birth.</w:t>
      </w:r>
    </w:p>
    <w:p w14:paraId="6C07F4D1" w14:textId="77777777" w:rsidR="00286A5B" w:rsidRPr="00286A5B" w:rsidRDefault="00286A5B" w:rsidP="00286A5B">
      <w:pPr>
        <w:pStyle w:val="NoSpacing"/>
        <w:numPr>
          <w:ilvl w:val="1"/>
          <w:numId w:val="26"/>
        </w:numPr>
        <w:rPr>
          <w:iCs/>
          <w:color w:val="FF0000"/>
        </w:rPr>
      </w:pPr>
      <w:r w:rsidRPr="00286A5B">
        <w:rPr>
          <w:iCs/>
          <w:color w:val="FF0000"/>
        </w:rPr>
        <w:t>Compare these measurements to standardized growth charts (e.g., WHO or Fenton growth charts) to determine if the neonate falls below the 10th percentile for gestational age.</w:t>
      </w:r>
    </w:p>
    <w:p w14:paraId="0847D5EA" w14:textId="77777777" w:rsidR="00286A5B" w:rsidRPr="00286A5B" w:rsidRDefault="00286A5B" w:rsidP="00286A5B">
      <w:pPr>
        <w:pStyle w:val="NoSpacing"/>
        <w:numPr>
          <w:ilvl w:val="0"/>
          <w:numId w:val="26"/>
        </w:numPr>
        <w:rPr>
          <w:iCs/>
          <w:color w:val="FF0000"/>
        </w:rPr>
      </w:pPr>
      <w:r w:rsidRPr="00286A5B">
        <w:rPr>
          <w:b/>
          <w:bCs/>
          <w:iCs/>
          <w:color w:val="FF0000"/>
        </w:rPr>
        <w:t>Maternal and Pregnancy History:</w:t>
      </w:r>
    </w:p>
    <w:p w14:paraId="46E61958" w14:textId="77777777" w:rsidR="00286A5B" w:rsidRPr="00286A5B" w:rsidRDefault="00286A5B" w:rsidP="00286A5B">
      <w:pPr>
        <w:pStyle w:val="NoSpacing"/>
        <w:numPr>
          <w:ilvl w:val="1"/>
          <w:numId w:val="26"/>
        </w:numPr>
        <w:rPr>
          <w:iCs/>
          <w:color w:val="FF0000"/>
        </w:rPr>
      </w:pPr>
      <w:r w:rsidRPr="00286A5B">
        <w:rPr>
          <w:iCs/>
          <w:color w:val="FF0000"/>
        </w:rPr>
        <w:t>Review the mother's medical, obstetric, and social history for risk factors associated with SGA, such as maternal hypertension, smoking, substance abuse, malnutrition, or placental insufficiency.</w:t>
      </w:r>
    </w:p>
    <w:p w14:paraId="04672CAC" w14:textId="77777777" w:rsidR="00286A5B" w:rsidRPr="00286A5B" w:rsidRDefault="00286A5B" w:rsidP="00286A5B">
      <w:pPr>
        <w:pStyle w:val="NoSpacing"/>
        <w:numPr>
          <w:ilvl w:val="1"/>
          <w:numId w:val="26"/>
        </w:numPr>
        <w:rPr>
          <w:iCs/>
          <w:color w:val="FF0000"/>
        </w:rPr>
      </w:pPr>
      <w:r w:rsidRPr="00286A5B">
        <w:rPr>
          <w:iCs/>
          <w:color w:val="FF0000"/>
        </w:rPr>
        <w:t>Assess prenatal care records for any abnormalities detected during pregnancy, such as intrauterine growth restriction (IUGR) or abnormal Doppler studies.</w:t>
      </w:r>
    </w:p>
    <w:p w14:paraId="052984F3" w14:textId="77777777" w:rsidR="00286A5B" w:rsidRPr="00286A5B" w:rsidRDefault="00286A5B" w:rsidP="00286A5B">
      <w:pPr>
        <w:pStyle w:val="NoSpacing"/>
        <w:numPr>
          <w:ilvl w:val="0"/>
          <w:numId w:val="26"/>
        </w:numPr>
        <w:rPr>
          <w:iCs/>
          <w:color w:val="FF0000"/>
        </w:rPr>
      </w:pPr>
      <w:r w:rsidRPr="00286A5B">
        <w:rPr>
          <w:b/>
          <w:bCs/>
          <w:iCs/>
          <w:color w:val="FF0000"/>
        </w:rPr>
        <w:t>Physical Examination:</w:t>
      </w:r>
    </w:p>
    <w:p w14:paraId="24DE162D" w14:textId="77777777" w:rsidR="00286A5B" w:rsidRPr="00286A5B" w:rsidRDefault="00286A5B" w:rsidP="00286A5B">
      <w:pPr>
        <w:pStyle w:val="NoSpacing"/>
        <w:numPr>
          <w:ilvl w:val="1"/>
          <w:numId w:val="26"/>
        </w:numPr>
        <w:rPr>
          <w:iCs/>
          <w:color w:val="FF0000"/>
        </w:rPr>
      </w:pPr>
      <w:r w:rsidRPr="00286A5B">
        <w:rPr>
          <w:iCs/>
          <w:color w:val="FF0000"/>
        </w:rPr>
        <w:t>Conduct a thorough physical examination of the neonate to identify any dysmorphic features, congenital anomalies, or signs of intrauterine infection that might suggest an underlying cause for SGA.</w:t>
      </w:r>
    </w:p>
    <w:p w14:paraId="77058327" w14:textId="77777777" w:rsidR="00286A5B" w:rsidRPr="00286A5B" w:rsidRDefault="00286A5B" w:rsidP="00286A5B">
      <w:pPr>
        <w:pStyle w:val="NoSpacing"/>
        <w:numPr>
          <w:ilvl w:val="1"/>
          <w:numId w:val="26"/>
        </w:numPr>
        <w:rPr>
          <w:iCs/>
          <w:color w:val="FF0000"/>
        </w:rPr>
      </w:pPr>
      <w:r w:rsidRPr="00286A5B">
        <w:rPr>
          <w:iCs/>
          <w:color w:val="FF0000"/>
        </w:rPr>
        <w:t>Evaluate the neonate for signs of hypoglycemia, hypothermia, or other complications commonly associated with SGA.</w:t>
      </w:r>
    </w:p>
    <w:p w14:paraId="298561F6" w14:textId="77777777" w:rsidR="00286A5B" w:rsidRPr="00286A5B" w:rsidRDefault="00286A5B" w:rsidP="00286A5B">
      <w:pPr>
        <w:pStyle w:val="NoSpacing"/>
        <w:numPr>
          <w:ilvl w:val="0"/>
          <w:numId w:val="26"/>
        </w:numPr>
        <w:rPr>
          <w:iCs/>
          <w:color w:val="FF0000"/>
        </w:rPr>
      </w:pPr>
      <w:r w:rsidRPr="00286A5B">
        <w:rPr>
          <w:b/>
          <w:bCs/>
          <w:iCs/>
          <w:color w:val="FF0000"/>
        </w:rPr>
        <w:t>Laboratory and Imaging Studies:</w:t>
      </w:r>
    </w:p>
    <w:p w14:paraId="7D0BD854" w14:textId="77777777" w:rsidR="00286A5B" w:rsidRPr="00286A5B" w:rsidRDefault="00286A5B" w:rsidP="00286A5B">
      <w:pPr>
        <w:pStyle w:val="NoSpacing"/>
        <w:numPr>
          <w:ilvl w:val="1"/>
          <w:numId w:val="26"/>
        </w:numPr>
        <w:rPr>
          <w:iCs/>
          <w:color w:val="FF0000"/>
        </w:rPr>
      </w:pPr>
      <w:r w:rsidRPr="00286A5B">
        <w:rPr>
          <w:iCs/>
          <w:color w:val="FF0000"/>
        </w:rPr>
        <w:lastRenderedPageBreak/>
        <w:t>Perform relevant laboratory tests, such as blood glucose levels, complete blood count, and metabolic screening, to identify any metabolic or hematologic abnormalities.</w:t>
      </w:r>
    </w:p>
    <w:p w14:paraId="4A771709" w14:textId="77777777" w:rsidR="00286A5B" w:rsidRPr="00286A5B" w:rsidRDefault="00286A5B" w:rsidP="00286A5B">
      <w:pPr>
        <w:pStyle w:val="NoSpacing"/>
        <w:numPr>
          <w:ilvl w:val="1"/>
          <w:numId w:val="26"/>
        </w:numPr>
        <w:rPr>
          <w:iCs/>
          <w:color w:val="FF0000"/>
        </w:rPr>
      </w:pPr>
      <w:r w:rsidRPr="00286A5B">
        <w:rPr>
          <w:iCs/>
          <w:color w:val="FF0000"/>
        </w:rPr>
        <w:t>Consider imaging studies, such as cranial ultrasound or echocardiography, if there are concerns about specific anomalies or complications.</w:t>
      </w:r>
    </w:p>
    <w:p w14:paraId="62108509" w14:textId="77777777" w:rsidR="00552964" w:rsidRPr="00552964" w:rsidRDefault="00552964" w:rsidP="00DA2A7D">
      <w:pPr>
        <w:pStyle w:val="NoSpacing"/>
        <w:rPr>
          <w:color w:val="FF00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5234"/>
        <w:gridCol w:w="1426"/>
      </w:tblGrid>
      <w:tr w:rsidR="00552964" w:rsidRPr="00552964" w14:paraId="0CE9855F" w14:textId="77777777" w:rsidTr="008A6DDC">
        <w:tc>
          <w:tcPr>
            <w:tcW w:w="2700" w:type="dxa"/>
            <w:shd w:val="clear" w:color="auto" w:fill="auto"/>
          </w:tcPr>
          <w:p w14:paraId="2ECC85FC" w14:textId="77777777" w:rsidR="00552964" w:rsidRPr="00552964" w:rsidRDefault="00552964" w:rsidP="00DA2A7D">
            <w:pPr>
              <w:pStyle w:val="NoSpacing"/>
              <w:jc w:val="center"/>
              <w:rPr>
                <w:b/>
              </w:rPr>
            </w:pPr>
            <w:r w:rsidRPr="00552964">
              <w:rPr>
                <w:b/>
              </w:rPr>
              <w:t>Document Source &amp; Date</w:t>
            </w:r>
          </w:p>
        </w:tc>
        <w:tc>
          <w:tcPr>
            <w:tcW w:w="5310" w:type="dxa"/>
            <w:shd w:val="clear" w:color="auto" w:fill="auto"/>
          </w:tcPr>
          <w:p w14:paraId="773CD49C" w14:textId="77777777" w:rsidR="00552964" w:rsidRPr="00552964" w:rsidRDefault="00552964" w:rsidP="00DA2A7D">
            <w:pPr>
              <w:pStyle w:val="NoSpacing"/>
              <w:jc w:val="center"/>
              <w:rPr>
                <w:b/>
              </w:rPr>
            </w:pPr>
            <w:r w:rsidRPr="00552964">
              <w:rPr>
                <w:b/>
              </w:rPr>
              <w:t>Pertinent Information</w:t>
            </w:r>
          </w:p>
        </w:tc>
        <w:tc>
          <w:tcPr>
            <w:tcW w:w="1440" w:type="dxa"/>
            <w:shd w:val="clear" w:color="auto" w:fill="auto"/>
          </w:tcPr>
          <w:p w14:paraId="73B54A1F" w14:textId="231E7840" w:rsidR="00552964" w:rsidRPr="00552964" w:rsidRDefault="00552964" w:rsidP="00DA2A7D">
            <w:pPr>
              <w:pStyle w:val="NoSpacing"/>
              <w:jc w:val="center"/>
              <w:rPr>
                <w:b/>
              </w:rPr>
            </w:pPr>
            <w:r w:rsidRPr="00552964">
              <w:rPr>
                <w:b/>
              </w:rPr>
              <w:t>Page</w:t>
            </w:r>
          </w:p>
        </w:tc>
      </w:tr>
      <w:tr w:rsidR="00552964" w:rsidRPr="00552964" w14:paraId="3C974977" w14:textId="77777777" w:rsidTr="008A6DDC">
        <w:tc>
          <w:tcPr>
            <w:tcW w:w="2700" w:type="dxa"/>
            <w:shd w:val="clear" w:color="auto" w:fill="auto"/>
          </w:tcPr>
          <w:p w14:paraId="75AE3598" w14:textId="77777777" w:rsidR="00552964" w:rsidRPr="00552964" w:rsidRDefault="00552964" w:rsidP="00DA2A7D">
            <w:pPr>
              <w:pStyle w:val="NoSpacing"/>
            </w:pPr>
          </w:p>
        </w:tc>
        <w:tc>
          <w:tcPr>
            <w:tcW w:w="5310" w:type="dxa"/>
            <w:shd w:val="clear" w:color="auto" w:fill="auto"/>
          </w:tcPr>
          <w:p w14:paraId="374B0F3E" w14:textId="77777777" w:rsidR="00552964" w:rsidRPr="00AC2CD1" w:rsidRDefault="00552964" w:rsidP="00DA2A7D">
            <w:pPr>
              <w:pStyle w:val="NoSpacing"/>
            </w:pPr>
          </w:p>
        </w:tc>
        <w:tc>
          <w:tcPr>
            <w:tcW w:w="1440" w:type="dxa"/>
            <w:shd w:val="clear" w:color="auto" w:fill="auto"/>
          </w:tcPr>
          <w:p w14:paraId="55947D49" w14:textId="77777777" w:rsidR="00552964" w:rsidRPr="00552964" w:rsidRDefault="00552964" w:rsidP="00DA2A7D">
            <w:pPr>
              <w:pStyle w:val="NoSpacing"/>
              <w:jc w:val="center"/>
            </w:pPr>
          </w:p>
        </w:tc>
      </w:tr>
      <w:tr w:rsidR="00552964" w:rsidRPr="00552964" w14:paraId="4A476EA9" w14:textId="77777777" w:rsidTr="008A6DDC">
        <w:tc>
          <w:tcPr>
            <w:tcW w:w="2700" w:type="dxa"/>
            <w:shd w:val="clear" w:color="auto" w:fill="auto"/>
          </w:tcPr>
          <w:p w14:paraId="12EA1BF2" w14:textId="77777777" w:rsidR="00552964" w:rsidRPr="00552964" w:rsidRDefault="00552964" w:rsidP="00DA2A7D">
            <w:pPr>
              <w:pStyle w:val="NoSpacing"/>
            </w:pPr>
          </w:p>
        </w:tc>
        <w:tc>
          <w:tcPr>
            <w:tcW w:w="5310" w:type="dxa"/>
            <w:shd w:val="clear" w:color="auto" w:fill="auto"/>
          </w:tcPr>
          <w:p w14:paraId="3A3ED1DB" w14:textId="77777777" w:rsidR="00552964" w:rsidRPr="00AC2CD1" w:rsidRDefault="00552964" w:rsidP="00DA2A7D">
            <w:pPr>
              <w:pStyle w:val="NoSpacing"/>
            </w:pPr>
          </w:p>
        </w:tc>
        <w:tc>
          <w:tcPr>
            <w:tcW w:w="1440" w:type="dxa"/>
            <w:shd w:val="clear" w:color="auto" w:fill="auto"/>
          </w:tcPr>
          <w:p w14:paraId="17058837" w14:textId="77777777" w:rsidR="00552964" w:rsidRPr="00552964" w:rsidRDefault="00552964" w:rsidP="00DA2A7D">
            <w:pPr>
              <w:pStyle w:val="NoSpacing"/>
              <w:jc w:val="center"/>
            </w:pPr>
          </w:p>
        </w:tc>
      </w:tr>
      <w:tr w:rsidR="00552964" w:rsidRPr="00552964" w14:paraId="2E807FA5" w14:textId="77777777" w:rsidTr="008A6DDC">
        <w:tc>
          <w:tcPr>
            <w:tcW w:w="2700" w:type="dxa"/>
            <w:shd w:val="clear" w:color="auto" w:fill="auto"/>
          </w:tcPr>
          <w:p w14:paraId="316D2A94" w14:textId="77777777" w:rsidR="00552964" w:rsidRPr="00552964" w:rsidRDefault="00552964" w:rsidP="00DA2A7D">
            <w:pPr>
              <w:pStyle w:val="NoSpacing"/>
            </w:pPr>
          </w:p>
        </w:tc>
        <w:tc>
          <w:tcPr>
            <w:tcW w:w="5310" w:type="dxa"/>
            <w:shd w:val="clear" w:color="auto" w:fill="auto"/>
          </w:tcPr>
          <w:p w14:paraId="440739CB" w14:textId="77777777" w:rsidR="00552964" w:rsidRPr="00AC2CD1" w:rsidRDefault="00552964" w:rsidP="00DA2A7D">
            <w:pPr>
              <w:pStyle w:val="NoSpacing"/>
            </w:pPr>
          </w:p>
        </w:tc>
        <w:tc>
          <w:tcPr>
            <w:tcW w:w="1440" w:type="dxa"/>
            <w:shd w:val="clear" w:color="auto" w:fill="auto"/>
          </w:tcPr>
          <w:p w14:paraId="64410C44" w14:textId="77777777" w:rsidR="00552964" w:rsidRPr="00552964" w:rsidRDefault="00552964" w:rsidP="00DA2A7D">
            <w:pPr>
              <w:pStyle w:val="NoSpacing"/>
              <w:jc w:val="center"/>
            </w:pPr>
          </w:p>
        </w:tc>
      </w:tr>
      <w:tr w:rsidR="00552964" w:rsidRPr="00552964" w14:paraId="0BC3C7CC" w14:textId="77777777" w:rsidTr="008A6DDC">
        <w:tc>
          <w:tcPr>
            <w:tcW w:w="2700" w:type="dxa"/>
            <w:shd w:val="clear" w:color="auto" w:fill="auto"/>
          </w:tcPr>
          <w:p w14:paraId="12ADA8D9" w14:textId="77777777" w:rsidR="00552964" w:rsidRPr="00552964" w:rsidRDefault="00552964" w:rsidP="00DA2A7D">
            <w:pPr>
              <w:pStyle w:val="NoSpacing"/>
            </w:pPr>
          </w:p>
        </w:tc>
        <w:tc>
          <w:tcPr>
            <w:tcW w:w="5310" w:type="dxa"/>
            <w:shd w:val="clear" w:color="auto" w:fill="auto"/>
          </w:tcPr>
          <w:p w14:paraId="2B334062" w14:textId="77777777" w:rsidR="00552964" w:rsidRPr="00AC2CD1" w:rsidRDefault="00552964" w:rsidP="00DA2A7D">
            <w:pPr>
              <w:pStyle w:val="NoSpacing"/>
            </w:pPr>
          </w:p>
        </w:tc>
        <w:tc>
          <w:tcPr>
            <w:tcW w:w="1440" w:type="dxa"/>
            <w:shd w:val="clear" w:color="auto" w:fill="auto"/>
          </w:tcPr>
          <w:p w14:paraId="6839C83D" w14:textId="77777777" w:rsidR="00552964" w:rsidRPr="00552964" w:rsidRDefault="00552964" w:rsidP="00DA2A7D">
            <w:pPr>
              <w:pStyle w:val="NoSpacing"/>
              <w:jc w:val="center"/>
            </w:pPr>
          </w:p>
        </w:tc>
      </w:tr>
      <w:tr w:rsidR="00552964" w:rsidRPr="00552964" w14:paraId="6034401D" w14:textId="77777777" w:rsidTr="008A6DDC">
        <w:tc>
          <w:tcPr>
            <w:tcW w:w="2700" w:type="dxa"/>
            <w:shd w:val="clear" w:color="auto" w:fill="auto"/>
          </w:tcPr>
          <w:p w14:paraId="70D48558" w14:textId="77777777" w:rsidR="00552964" w:rsidRPr="00552964" w:rsidRDefault="00552964" w:rsidP="00DA2A7D">
            <w:pPr>
              <w:pStyle w:val="NoSpacing"/>
            </w:pPr>
          </w:p>
        </w:tc>
        <w:tc>
          <w:tcPr>
            <w:tcW w:w="5310" w:type="dxa"/>
            <w:shd w:val="clear" w:color="auto" w:fill="auto"/>
          </w:tcPr>
          <w:p w14:paraId="240C6F91" w14:textId="77777777" w:rsidR="00552964" w:rsidRPr="00AC2CD1" w:rsidRDefault="00552964" w:rsidP="00DA2A7D">
            <w:pPr>
              <w:pStyle w:val="NoSpacing"/>
            </w:pPr>
          </w:p>
        </w:tc>
        <w:tc>
          <w:tcPr>
            <w:tcW w:w="1440" w:type="dxa"/>
            <w:shd w:val="clear" w:color="auto" w:fill="auto"/>
          </w:tcPr>
          <w:p w14:paraId="0C20C50D" w14:textId="77777777" w:rsidR="00552964" w:rsidRPr="00552964" w:rsidRDefault="00552964" w:rsidP="00DA2A7D">
            <w:pPr>
              <w:pStyle w:val="NoSpacing"/>
              <w:jc w:val="center"/>
            </w:pPr>
          </w:p>
        </w:tc>
      </w:tr>
      <w:tr w:rsidR="00552964" w:rsidRPr="00552964" w14:paraId="09CF0140" w14:textId="77777777" w:rsidTr="008A6DDC">
        <w:tc>
          <w:tcPr>
            <w:tcW w:w="2700" w:type="dxa"/>
            <w:shd w:val="clear" w:color="auto" w:fill="auto"/>
          </w:tcPr>
          <w:p w14:paraId="4F8C81CF" w14:textId="77777777" w:rsidR="00552964" w:rsidRPr="00552964" w:rsidRDefault="00552964" w:rsidP="00DA2A7D">
            <w:pPr>
              <w:pStyle w:val="NoSpacing"/>
            </w:pPr>
          </w:p>
        </w:tc>
        <w:tc>
          <w:tcPr>
            <w:tcW w:w="5310" w:type="dxa"/>
            <w:shd w:val="clear" w:color="auto" w:fill="auto"/>
          </w:tcPr>
          <w:p w14:paraId="5C5CC3E8" w14:textId="77777777" w:rsidR="00552964" w:rsidRPr="00AC2CD1" w:rsidRDefault="00552964" w:rsidP="00DA2A7D">
            <w:pPr>
              <w:pStyle w:val="NoSpacing"/>
            </w:pPr>
          </w:p>
        </w:tc>
        <w:tc>
          <w:tcPr>
            <w:tcW w:w="1440" w:type="dxa"/>
            <w:shd w:val="clear" w:color="auto" w:fill="auto"/>
          </w:tcPr>
          <w:p w14:paraId="6DD46FB9" w14:textId="77777777" w:rsidR="00552964" w:rsidRPr="00552964" w:rsidRDefault="00552964" w:rsidP="00DA2A7D">
            <w:pPr>
              <w:pStyle w:val="NoSpacing"/>
              <w:jc w:val="center"/>
            </w:pPr>
          </w:p>
        </w:tc>
      </w:tr>
      <w:tr w:rsidR="00552964" w:rsidRPr="00552964" w14:paraId="34F6F5D9" w14:textId="77777777" w:rsidTr="008A6DDC">
        <w:tc>
          <w:tcPr>
            <w:tcW w:w="2700" w:type="dxa"/>
            <w:shd w:val="clear" w:color="auto" w:fill="auto"/>
          </w:tcPr>
          <w:p w14:paraId="656F9D3C" w14:textId="77777777" w:rsidR="00552964" w:rsidRPr="00552964" w:rsidRDefault="00552964" w:rsidP="00DA2A7D">
            <w:pPr>
              <w:pStyle w:val="NoSpacing"/>
            </w:pPr>
          </w:p>
        </w:tc>
        <w:tc>
          <w:tcPr>
            <w:tcW w:w="5310" w:type="dxa"/>
            <w:shd w:val="clear" w:color="auto" w:fill="auto"/>
          </w:tcPr>
          <w:p w14:paraId="05EFEE5A" w14:textId="77777777" w:rsidR="00552964" w:rsidRPr="00AC2CD1" w:rsidRDefault="00552964" w:rsidP="00DA2A7D">
            <w:pPr>
              <w:pStyle w:val="NoSpacing"/>
            </w:pPr>
          </w:p>
        </w:tc>
        <w:tc>
          <w:tcPr>
            <w:tcW w:w="1440" w:type="dxa"/>
            <w:shd w:val="clear" w:color="auto" w:fill="auto"/>
          </w:tcPr>
          <w:p w14:paraId="6097A738" w14:textId="77777777" w:rsidR="00552964" w:rsidRPr="00552964" w:rsidRDefault="00552964" w:rsidP="00DA2A7D">
            <w:pPr>
              <w:pStyle w:val="NoSpacing"/>
              <w:jc w:val="center"/>
            </w:pPr>
          </w:p>
        </w:tc>
      </w:tr>
      <w:tr w:rsidR="00552964" w:rsidRPr="00552964" w14:paraId="3B48CFE5" w14:textId="77777777" w:rsidTr="008A6DDC">
        <w:tc>
          <w:tcPr>
            <w:tcW w:w="2700" w:type="dxa"/>
            <w:shd w:val="clear" w:color="auto" w:fill="auto"/>
          </w:tcPr>
          <w:p w14:paraId="01424BE5" w14:textId="77777777" w:rsidR="00552964" w:rsidRPr="00552964" w:rsidRDefault="00552964" w:rsidP="00DA2A7D">
            <w:pPr>
              <w:pStyle w:val="NoSpacing"/>
            </w:pPr>
          </w:p>
        </w:tc>
        <w:tc>
          <w:tcPr>
            <w:tcW w:w="5310" w:type="dxa"/>
            <w:shd w:val="clear" w:color="auto" w:fill="auto"/>
          </w:tcPr>
          <w:p w14:paraId="67663D4C" w14:textId="77777777" w:rsidR="00552964" w:rsidRPr="00AC2CD1" w:rsidRDefault="00552964" w:rsidP="00DA2A7D">
            <w:pPr>
              <w:pStyle w:val="NoSpacing"/>
            </w:pPr>
          </w:p>
        </w:tc>
        <w:tc>
          <w:tcPr>
            <w:tcW w:w="1440" w:type="dxa"/>
            <w:shd w:val="clear" w:color="auto" w:fill="auto"/>
          </w:tcPr>
          <w:p w14:paraId="584A73C9" w14:textId="77777777" w:rsidR="00552964" w:rsidRPr="00552964" w:rsidRDefault="00552964" w:rsidP="00DA2A7D">
            <w:pPr>
              <w:pStyle w:val="NoSpacing"/>
              <w:jc w:val="center"/>
            </w:pPr>
          </w:p>
        </w:tc>
      </w:tr>
    </w:tbl>
    <w:p w14:paraId="735C50EA" w14:textId="77777777" w:rsidR="00552964" w:rsidRPr="00552964" w:rsidRDefault="00552964" w:rsidP="00DA2A7D">
      <w:pPr>
        <w:pStyle w:val="NoSpacing"/>
        <w:rPr>
          <w:b/>
          <w:u w:val="single"/>
        </w:rPr>
      </w:pPr>
    </w:p>
    <w:p w14:paraId="20CBC970" w14:textId="64A5A83A" w:rsidR="00B14D74" w:rsidRPr="00B14D74" w:rsidRDefault="00552964" w:rsidP="00DB1079">
      <w:pPr>
        <w:pStyle w:val="NoSpacing"/>
        <w:jc w:val="center"/>
        <w:rPr>
          <w:iCs/>
        </w:rPr>
      </w:pPr>
      <w:r w:rsidRPr="00552964">
        <w:rPr>
          <w:b/>
        </w:rPr>
        <w:t>Laboratory</w:t>
      </w:r>
    </w:p>
    <w:tbl>
      <w:tblPr>
        <w:tblpPr w:leftFromText="180" w:rightFromText="180" w:vertAnchor="text" w:horzAnchor="margin" w:tblpY="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620"/>
        <w:gridCol w:w="1530"/>
        <w:gridCol w:w="2070"/>
        <w:gridCol w:w="1435"/>
      </w:tblGrid>
      <w:tr w:rsidR="00552964" w:rsidRPr="00DB1079" w14:paraId="0184CFD5" w14:textId="77777777" w:rsidTr="00CB4A1E">
        <w:tc>
          <w:tcPr>
            <w:tcW w:w="2695" w:type="dxa"/>
            <w:shd w:val="clear" w:color="auto" w:fill="auto"/>
          </w:tcPr>
          <w:p w14:paraId="19D8335E" w14:textId="77777777" w:rsidR="00552964" w:rsidRPr="00DB1079" w:rsidRDefault="00552964" w:rsidP="00DB1079">
            <w:pPr>
              <w:pStyle w:val="NoSpacing"/>
              <w:jc w:val="center"/>
              <w:rPr>
                <w:b/>
              </w:rPr>
            </w:pPr>
            <w:r w:rsidRPr="00DB1079">
              <w:rPr>
                <w:b/>
              </w:rPr>
              <w:t>Test</w:t>
            </w:r>
          </w:p>
        </w:tc>
        <w:tc>
          <w:tcPr>
            <w:tcW w:w="1620" w:type="dxa"/>
            <w:shd w:val="clear" w:color="auto" w:fill="auto"/>
          </w:tcPr>
          <w:p w14:paraId="16376981" w14:textId="6AF395A4" w:rsidR="00552964" w:rsidRPr="00DB1079" w:rsidRDefault="00552964" w:rsidP="00DB1079">
            <w:pPr>
              <w:pStyle w:val="NoSpacing"/>
              <w:jc w:val="center"/>
              <w:rPr>
                <w:b/>
              </w:rPr>
            </w:pPr>
            <w:r w:rsidRPr="00DB1079">
              <w:rPr>
                <w:b/>
              </w:rPr>
              <w:t>Date</w:t>
            </w:r>
          </w:p>
        </w:tc>
        <w:tc>
          <w:tcPr>
            <w:tcW w:w="1530" w:type="dxa"/>
            <w:shd w:val="clear" w:color="auto" w:fill="auto"/>
          </w:tcPr>
          <w:p w14:paraId="66D730DC" w14:textId="77777777" w:rsidR="00552964" w:rsidRPr="00DB1079" w:rsidRDefault="00552964" w:rsidP="00DB1079">
            <w:pPr>
              <w:pStyle w:val="NoSpacing"/>
              <w:jc w:val="center"/>
              <w:rPr>
                <w:b/>
              </w:rPr>
            </w:pPr>
            <w:r w:rsidRPr="00DB1079">
              <w:rPr>
                <w:b/>
              </w:rPr>
              <w:t>Results</w:t>
            </w:r>
          </w:p>
        </w:tc>
        <w:tc>
          <w:tcPr>
            <w:tcW w:w="2070" w:type="dxa"/>
            <w:shd w:val="clear" w:color="auto" w:fill="auto"/>
          </w:tcPr>
          <w:p w14:paraId="687A4E32" w14:textId="77777777" w:rsidR="00552964" w:rsidRPr="00DB1079" w:rsidRDefault="00552964" w:rsidP="00DB1079">
            <w:pPr>
              <w:pStyle w:val="NoSpacing"/>
              <w:jc w:val="center"/>
              <w:rPr>
                <w:b/>
              </w:rPr>
            </w:pPr>
            <w:r w:rsidRPr="00DB1079">
              <w:rPr>
                <w:b/>
              </w:rPr>
              <w:t>Reference Range</w:t>
            </w:r>
          </w:p>
        </w:tc>
        <w:tc>
          <w:tcPr>
            <w:tcW w:w="1435" w:type="dxa"/>
          </w:tcPr>
          <w:p w14:paraId="3716D20B" w14:textId="71132662" w:rsidR="00552964" w:rsidRPr="00DB1079" w:rsidRDefault="00552964" w:rsidP="00DB1079">
            <w:pPr>
              <w:pStyle w:val="NoSpacing"/>
              <w:jc w:val="center"/>
              <w:rPr>
                <w:b/>
              </w:rPr>
            </w:pPr>
            <w:r w:rsidRPr="00DB1079">
              <w:rPr>
                <w:b/>
              </w:rPr>
              <w:t>Page</w:t>
            </w:r>
          </w:p>
        </w:tc>
      </w:tr>
      <w:tr w:rsidR="00552964" w:rsidRPr="00552964" w14:paraId="090E9987" w14:textId="77777777" w:rsidTr="00CB4A1E">
        <w:tc>
          <w:tcPr>
            <w:tcW w:w="2695" w:type="dxa"/>
            <w:shd w:val="clear" w:color="auto" w:fill="auto"/>
          </w:tcPr>
          <w:p w14:paraId="5F25DE11" w14:textId="77777777" w:rsidR="00552964" w:rsidRPr="00552964" w:rsidRDefault="00552964" w:rsidP="00DB1079">
            <w:pPr>
              <w:pStyle w:val="NoSpacing"/>
            </w:pPr>
          </w:p>
        </w:tc>
        <w:tc>
          <w:tcPr>
            <w:tcW w:w="1620" w:type="dxa"/>
            <w:shd w:val="clear" w:color="auto" w:fill="auto"/>
          </w:tcPr>
          <w:p w14:paraId="4AC51B27" w14:textId="77777777" w:rsidR="00552964" w:rsidRPr="00552964" w:rsidRDefault="00552964" w:rsidP="00DB1079">
            <w:pPr>
              <w:pStyle w:val="NoSpacing"/>
            </w:pPr>
          </w:p>
        </w:tc>
        <w:tc>
          <w:tcPr>
            <w:tcW w:w="1530" w:type="dxa"/>
            <w:shd w:val="clear" w:color="auto" w:fill="auto"/>
          </w:tcPr>
          <w:p w14:paraId="06AF7878" w14:textId="77777777" w:rsidR="00552964" w:rsidRPr="00DB1079" w:rsidRDefault="00552964" w:rsidP="00DB1079">
            <w:pPr>
              <w:pStyle w:val="NoSpacing"/>
              <w:rPr>
                <w:b/>
              </w:rPr>
            </w:pPr>
          </w:p>
        </w:tc>
        <w:tc>
          <w:tcPr>
            <w:tcW w:w="2070" w:type="dxa"/>
            <w:shd w:val="clear" w:color="auto" w:fill="auto"/>
          </w:tcPr>
          <w:p w14:paraId="14AD4A25" w14:textId="77777777" w:rsidR="00552964" w:rsidRPr="00552964" w:rsidRDefault="00552964" w:rsidP="00DB1079">
            <w:pPr>
              <w:pStyle w:val="NoSpacing"/>
            </w:pPr>
          </w:p>
        </w:tc>
        <w:tc>
          <w:tcPr>
            <w:tcW w:w="1435" w:type="dxa"/>
          </w:tcPr>
          <w:p w14:paraId="570229E8" w14:textId="77777777" w:rsidR="00552964" w:rsidRPr="00552964" w:rsidRDefault="00552964" w:rsidP="00DB1079">
            <w:pPr>
              <w:pStyle w:val="NoSpacing"/>
              <w:jc w:val="center"/>
            </w:pPr>
          </w:p>
        </w:tc>
      </w:tr>
      <w:tr w:rsidR="00552964" w:rsidRPr="00552964" w14:paraId="6D1E7487" w14:textId="77777777" w:rsidTr="00CB4A1E">
        <w:tc>
          <w:tcPr>
            <w:tcW w:w="2695" w:type="dxa"/>
            <w:shd w:val="clear" w:color="auto" w:fill="auto"/>
          </w:tcPr>
          <w:p w14:paraId="10248745" w14:textId="77777777" w:rsidR="00552964" w:rsidRPr="00552964" w:rsidRDefault="00552964" w:rsidP="00DB1079">
            <w:pPr>
              <w:pStyle w:val="NoSpacing"/>
            </w:pPr>
          </w:p>
        </w:tc>
        <w:tc>
          <w:tcPr>
            <w:tcW w:w="1620" w:type="dxa"/>
            <w:shd w:val="clear" w:color="auto" w:fill="auto"/>
          </w:tcPr>
          <w:p w14:paraId="64661085" w14:textId="77777777" w:rsidR="00552964" w:rsidRPr="00552964" w:rsidRDefault="00552964" w:rsidP="00DB1079">
            <w:pPr>
              <w:pStyle w:val="NoSpacing"/>
            </w:pPr>
          </w:p>
        </w:tc>
        <w:tc>
          <w:tcPr>
            <w:tcW w:w="1530" w:type="dxa"/>
            <w:shd w:val="clear" w:color="auto" w:fill="auto"/>
          </w:tcPr>
          <w:p w14:paraId="3A94AFD5" w14:textId="77777777" w:rsidR="00552964" w:rsidRPr="00DB1079" w:rsidRDefault="00552964" w:rsidP="00DB1079">
            <w:pPr>
              <w:pStyle w:val="NoSpacing"/>
              <w:rPr>
                <w:b/>
              </w:rPr>
            </w:pPr>
          </w:p>
        </w:tc>
        <w:tc>
          <w:tcPr>
            <w:tcW w:w="2070" w:type="dxa"/>
            <w:shd w:val="clear" w:color="auto" w:fill="auto"/>
          </w:tcPr>
          <w:p w14:paraId="752A5F55" w14:textId="77777777" w:rsidR="00552964" w:rsidRPr="00552964" w:rsidRDefault="00552964" w:rsidP="00DB1079">
            <w:pPr>
              <w:pStyle w:val="NoSpacing"/>
            </w:pPr>
          </w:p>
        </w:tc>
        <w:tc>
          <w:tcPr>
            <w:tcW w:w="1435" w:type="dxa"/>
          </w:tcPr>
          <w:p w14:paraId="759841BA" w14:textId="77777777" w:rsidR="00552964" w:rsidRPr="00552964" w:rsidRDefault="00552964" w:rsidP="00DB1079">
            <w:pPr>
              <w:pStyle w:val="NoSpacing"/>
              <w:jc w:val="center"/>
            </w:pPr>
          </w:p>
        </w:tc>
      </w:tr>
      <w:tr w:rsidR="00552964" w:rsidRPr="00552964" w14:paraId="202B80BD" w14:textId="77777777" w:rsidTr="00CB4A1E">
        <w:tc>
          <w:tcPr>
            <w:tcW w:w="2695" w:type="dxa"/>
            <w:shd w:val="clear" w:color="auto" w:fill="auto"/>
          </w:tcPr>
          <w:p w14:paraId="446957E7" w14:textId="77777777" w:rsidR="00552964" w:rsidRPr="00552964" w:rsidRDefault="00552964" w:rsidP="00DB1079">
            <w:pPr>
              <w:pStyle w:val="NoSpacing"/>
            </w:pPr>
          </w:p>
        </w:tc>
        <w:tc>
          <w:tcPr>
            <w:tcW w:w="1620" w:type="dxa"/>
            <w:shd w:val="clear" w:color="auto" w:fill="auto"/>
          </w:tcPr>
          <w:p w14:paraId="185E124F" w14:textId="77777777" w:rsidR="00552964" w:rsidRPr="00552964" w:rsidRDefault="00552964" w:rsidP="00DB1079">
            <w:pPr>
              <w:pStyle w:val="NoSpacing"/>
            </w:pPr>
          </w:p>
        </w:tc>
        <w:tc>
          <w:tcPr>
            <w:tcW w:w="1530" w:type="dxa"/>
            <w:shd w:val="clear" w:color="auto" w:fill="auto"/>
          </w:tcPr>
          <w:p w14:paraId="6BF12EEC" w14:textId="77777777" w:rsidR="00552964" w:rsidRPr="00DB1079" w:rsidRDefault="00552964" w:rsidP="00DB1079">
            <w:pPr>
              <w:pStyle w:val="NoSpacing"/>
              <w:rPr>
                <w:b/>
              </w:rPr>
            </w:pPr>
          </w:p>
        </w:tc>
        <w:tc>
          <w:tcPr>
            <w:tcW w:w="2070" w:type="dxa"/>
            <w:shd w:val="clear" w:color="auto" w:fill="auto"/>
          </w:tcPr>
          <w:p w14:paraId="1EA205DA" w14:textId="77777777" w:rsidR="00552964" w:rsidRPr="00552964" w:rsidRDefault="00552964" w:rsidP="00DB1079">
            <w:pPr>
              <w:pStyle w:val="NoSpacing"/>
            </w:pPr>
          </w:p>
        </w:tc>
        <w:tc>
          <w:tcPr>
            <w:tcW w:w="1435" w:type="dxa"/>
          </w:tcPr>
          <w:p w14:paraId="48C7483F" w14:textId="77777777" w:rsidR="00552964" w:rsidRPr="00552964" w:rsidRDefault="00552964" w:rsidP="00DB1079">
            <w:pPr>
              <w:pStyle w:val="NoSpacing"/>
              <w:jc w:val="center"/>
            </w:pPr>
          </w:p>
        </w:tc>
      </w:tr>
      <w:tr w:rsidR="00552964" w:rsidRPr="00552964" w14:paraId="4659232F" w14:textId="77777777" w:rsidTr="00CB4A1E">
        <w:tc>
          <w:tcPr>
            <w:tcW w:w="2695" w:type="dxa"/>
            <w:shd w:val="clear" w:color="auto" w:fill="auto"/>
          </w:tcPr>
          <w:p w14:paraId="3FF6A30F" w14:textId="77777777" w:rsidR="00552964" w:rsidRPr="00552964" w:rsidRDefault="00552964" w:rsidP="00DB1079">
            <w:pPr>
              <w:pStyle w:val="NoSpacing"/>
            </w:pPr>
          </w:p>
        </w:tc>
        <w:tc>
          <w:tcPr>
            <w:tcW w:w="1620" w:type="dxa"/>
            <w:shd w:val="clear" w:color="auto" w:fill="auto"/>
          </w:tcPr>
          <w:p w14:paraId="73DA4C77" w14:textId="77777777" w:rsidR="00552964" w:rsidRPr="00552964" w:rsidRDefault="00552964" w:rsidP="00DB1079">
            <w:pPr>
              <w:pStyle w:val="NoSpacing"/>
            </w:pPr>
          </w:p>
        </w:tc>
        <w:tc>
          <w:tcPr>
            <w:tcW w:w="1530" w:type="dxa"/>
            <w:shd w:val="clear" w:color="auto" w:fill="auto"/>
          </w:tcPr>
          <w:p w14:paraId="18B45F27" w14:textId="77777777" w:rsidR="00552964" w:rsidRPr="00DB1079" w:rsidRDefault="00552964" w:rsidP="00DB1079">
            <w:pPr>
              <w:pStyle w:val="NoSpacing"/>
              <w:rPr>
                <w:b/>
              </w:rPr>
            </w:pPr>
          </w:p>
        </w:tc>
        <w:tc>
          <w:tcPr>
            <w:tcW w:w="2070" w:type="dxa"/>
            <w:shd w:val="clear" w:color="auto" w:fill="auto"/>
          </w:tcPr>
          <w:p w14:paraId="5AB320A0" w14:textId="77777777" w:rsidR="00552964" w:rsidRPr="00552964" w:rsidRDefault="00552964" w:rsidP="00DB1079">
            <w:pPr>
              <w:pStyle w:val="NoSpacing"/>
            </w:pPr>
          </w:p>
        </w:tc>
        <w:tc>
          <w:tcPr>
            <w:tcW w:w="1435" w:type="dxa"/>
          </w:tcPr>
          <w:p w14:paraId="24F78294" w14:textId="77777777" w:rsidR="00552964" w:rsidRPr="00552964" w:rsidRDefault="00552964" w:rsidP="00DB1079">
            <w:pPr>
              <w:pStyle w:val="NoSpacing"/>
              <w:jc w:val="center"/>
            </w:pPr>
          </w:p>
        </w:tc>
      </w:tr>
    </w:tbl>
    <w:p w14:paraId="0076CC1A" w14:textId="77777777" w:rsidR="00552964" w:rsidRPr="00552964" w:rsidRDefault="00552964" w:rsidP="00DB1079">
      <w:pPr>
        <w:pStyle w:val="NoSpacing"/>
      </w:pPr>
    </w:p>
    <w:p w14:paraId="7C01C538" w14:textId="418E72EE" w:rsidR="00552964" w:rsidRPr="00552964" w:rsidRDefault="00A93F85" w:rsidP="008A60DE">
      <w:pPr>
        <w:pStyle w:val="NoSpacing"/>
        <w:jc w:val="center"/>
        <w:rPr>
          <w:b/>
        </w:rPr>
      </w:pPr>
      <w:r>
        <w:rPr>
          <w:b/>
        </w:rPr>
        <w:t>Vital Signs</w:t>
      </w:r>
    </w:p>
    <w:p w14:paraId="6AF7E4E9" w14:textId="77777777" w:rsidR="00552964" w:rsidRPr="00552964" w:rsidRDefault="00552964" w:rsidP="00DB1079">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1800"/>
        <w:gridCol w:w="1800"/>
        <w:gridCol w:w="1346"/>
      </w:tblGrid>
      <w:tr w:rsidR="00552964" w:rsidRPr="00552964" w14:paraId="2FA439F5" w14:textId="77777777" w:rsidTr="00CB4A1E">
        <w:trPr>
          <w:jc w:val="center"/>
        </w:trPr>
        <w:tc>
          <w:tcPr>
            <w:tcW w:w="4315" w:type="dxa"/>
            <w:shd w:val="clear" w:color="auto" w:fill="auto"/>
          </w:tcPr>
          <w:p w14:paraId="4315AA51" w14:textId="77777777" w:rsidR="00552964" w:rsidRPr="00552964" w:rsidRDefault="00552964" w:rsidP="00DB1079">
            <w:pPr>
              <w:pStyle w:val="NoSpacing"/>
              <w:jc w:val="center"/>
              <w:rPr>
                <w:b/>
                <w:szCs w:val="24"/>
              </w:rPr>
            </w:pPr>
            <w:r w:rsidRPr="00552964">
              <w:rPr>
                <w:b/>
                <w:szCs w:val="24"/>
              </w:rPr>
              <w:t>Vital Sign</w:t>
            </w:r>
          </w:p>
        </w:tc>
        <w:tc>
          <w:tcPr>
            <w:tcW w:w="1800" w:type="dxa"/>
            <w:shd w:val="clear" w:color="auto" w:fill="auto"/>
          </w:tcPr>
          <w:p w14:paraId="3133C004" w14:textId="41583F4C" w:rsidR="00552964" w:rsidRPr="00552964" w:rsidRDefault="00552964" w:rsidP="00DB1079">
            <w:pPr>
              <w:pStyle w:val="NoSpacing"/>
              <w:jc w:val="center"/>
              <w:rPr>
                <w:b/>
                <w:szCs w:val="24"/>
              </w:rPr>
            </w:pPr>
            <w:r w:rsidRPr="00552964">
              <w:rPr>
                <w:b/>
                <w:szCs w:val="24"/>
              </w:rPr>
              <w:t>Date</w:t>
            </w:r>
          </w:p>
        </w:tc>
        <w:tc>
          <w:tcPr>
            <w:tcW w:w="1800" w:type="dxa"/>
            <w:shd w:val="clear" w:color="auto" w:fill="auto"/>
          </w:tcPr>
          <w:p w14:paraId="295A2415" w14:textId="77777777" w:rsidR="00552964" w:rsidRPr="00552964" w:rsidRDefault="00552964" w:rsidP="00DB1079">
            <w:pPr>
              <w:pStyle w:val="NoSpacing"/>
              <w:jc w:val="center"/>
              <w:rPr>
                <w:b/>
                <w:szCs w:val="24"/>
              </w:rPr>
            </w:pPr>
            <w:r w:rsidRPr="00552964">
              <w:rPr>
                <w:b/>
                <w:szCs w:val="24"/>
              </w:rPr>
              <w:t>Value</w:t>
            </w:r>
          </w:p>
        </w:tc>
        <w:tc>
          <w:tcPr>
            <w:tcW w:w="1346" w:type="dxa"/>
            <w:shd w:val="clear" w:color="auto" w:fill="auto"/>
          </w:tcPr>
          <w:p w14:paraId="0227102D" w14:textId="3FFE8E40" w:rsidR="00552964" w:rsidRPr="00552964" w:rsidRDefault="00552964" w:rsidP="00DB1079">
            <w:pPr>
              <w:pStyle w:val="NoSpacing"/>
              <w:jc w:val="center"/>
              <w:rPr>
                <w:b/>
                <w:szCs w:val="24"/>
              </w:rPr>
            </w:pPr>
            <w:r w:rsidRPr="00552964">
              <w:rPr>
                <w:b/>
                <w:szCs w:val="24"/>
              </w:rPr>
              <w:t>Page</w:t>
            </w:r>
          </w:p>
        </w:tc>
      </w:tr>
      <w:tr w:rsidR="00552964" w:rsidRPr="00552964" w14:paraId="2BC0AD6C" w14:textId="77777777" w:rsidTr="00CB4A1E">
        <w:trPr>
          <w:jc w:val="center"/>
        </w:trPr>
        <w:tc>
          <w:tcPr>
            <w:tcW w:w="4315" w:type="dxa"/>
            <w:shd w:val="clear" w:color="auto" w:fill="auto"/>
          </w:tcPr>
          <w:p w14:paraId="4A503AE8" w14:textId="70EB46BE" w:rsidR="00552964" w:rsidRPr="00552964" w:rsidRDefault="008A60DE" w:rsidP="00DB1079">
            <w:pPr>
              <w:pStyle w:val="NoSpacing"/>
              <w:rPr>
                <w:szCs w:val="24"/>
              </w:rPr>
            </w:pPr>
            <w:r>
              <w:rPr>
                <w:szCs w:val="24"/>
              </w:rPr>
              <w:t>Temperature</w:t>
            </w:r>
          </w:p>
        </w:tc>
        <w:tc>
          <w:tcPr>
            <w:tcW w:w="1800" w:type="dxa"/>
            <w:shd w:val="clear" w:color="auto" w:fill="auto"/>
          </w:tcPr>
          <w:p w14:paraId="02F0AB07" w14:textId="77777777" w:rsidR="00552964" w:rsidRPr="00552964" w:rsidRDefault="00552964" w:rsidP="00DB1079">
            <w:pPr>
              <w:pStyle w:val="NoSpacing"/>
              <w:rPr>
                <w:szCs w:val="24"/>
              </w:rPr>
            </w:pPr>
          </w:p>
        </w:tc>
        <w:tc>
          <w:tcPr>
            <w:tcW w:w="1800" w:type="dxa"/>
            <w:shd w:val="clear" w:color="auto" w:fill="auto"/>
          </w:tcPr>
          <w:p w14:paraId="65DDEFBA" w14:textId="77777777" w:rsidR="00552964" w:rsidRPr="00552964" w:rsidRDefault="00552964" w:rsidP="00DB1079">
            <w:pPr>
              <w:pStyle w:val="NoSpacing"/>
              <w:rPr>
                <w:b/>
                <w:szCs w:val="24"/>
              </w:rPr>
            </w:pPr>
          </w:p>
        </w:tc>
        <w:tc>
          <w:tcPr>
            <w:tcW w:w="1346" w:type="dxa"/>
            <w:shd w:val="clear" w:color="auto" w:fill="auto"/>
          </w:tcPr>
          <w:p w14:paraId="0E4297A7" w14:textId="77777777" w:rsidR="00552964" w:rsidRPr="00552964" w:rsidRDefault="00552964" w:rsidP="004D57FB">
            <w:pPr>
              <w:pStyle w:val="NoSpacing"/>
              <w:jc w:val="center"/>
              <w:rPr>
                <w:szCs w:val="24"/>
              </w:rPr>
            </w:pPr>
          </w:p>
        </w:tc>
      </w:tr>
      <w:tr w:rsidR="00552964" w:rsidRPr="00552964" w14:paraId="31BFE205" w14:textId="77777777" w:rsidTr="00CB4A1E">
        <w:trPr>
          <w:jc w:val="center"/>
        </w:trPr>
        <w:tc>
          <w:tcPr>
            <w:tcW w:w="4315" w:type="dxa"/>
            <w:shd w:val="clear" w:color="auto" w:fill="auto"/>
          </w:tcPr>
          <w:p w14:paraId="19C9D437" w14:textId="77777777" w:rsidR="00552964" w:rsidRPr="00552964" w:rsidRDefault="00552964" w:rsidP="00DB1079">
            <w:pPr>
              <w:pStyle w:val="NoSpacing"/>
              <w:rPr>
                <w:szCs w:val="24"/>
              </w:rPr>
            </w:pPr>
            <w:r w:rsidRPr="00552964">
              <w:rPr>
                <w:szCs w:val="24"/>
              </w:rPr>
              <w:t>Pulse</w:t>
            </w:r>
          </w:p>
        </w:tc>
        <w:tc>
          <w:tcPr>
            <w:tcW w:w="1800" w:type="dxa"/>
            <w:shd w:val="clear" w:color="auto" w:fill="auto"/>
          </w:tcPr>
          <w:p w14:paraId="6EDEFC7F" w14:textId="77777777" w:rsidR="00552964" w:rsidRPr="00552964" w:rsidRDefault="00552964" w:rsidP="00DB1079">
            <w:pPr>
              <w:pStyle w:val="NoSpacing"/>
              <w:rPr>
                <w:szCs w:val="24"/>
              </w:rPr>
            </w:pPr>
          </w:p>
        </w:tc>
        <w:tc>
          <w:tcPr>
            <w:tcW w:w="1800" w:type="dxa"/>
            <w:shd w:val="clear" w:color="auto" w:fill="auto"/>
          </w:tcPr>
          <w:p w14:paraId="7B898F04" w14:textId="77777777" w:rsidR="00552964" w:rsidRPr="00552964" w:rsidRDefault="00552964" w:rsidP="00DB1079">
            <w:pPr>
              <w:pStyle w:val="NoSpacing"/>
              <w:rPr>
                <w:b/>
                <w:szCs w:val="24"/>
              </w:rPr>
            </w:pPr>
          </w:p>
        </w:tc>
        <w:tc>
          <w:tcPr>
            <w:tcW w:w="1346" w:type="dxa"/>
            <w:shd w:val="clear" w:color="auto" w:fill="auto"/>
          </w:tcPr>
          <w:p w14:paraId="67408875" w14:textId="77777777" w:rsidR="00552964" w:rsidRPr="00552964" w:rsidRDefault="00552964" w:rsidP="004D57FB">
            <w:pPr>
              <w:pStyle w:val="NoSpacing"/>
              <w:jc w:val="center"/>
              <w:rPr>
                <w:szCs w:val="24"/>
              </w:rPr>
            </w:pPr>
          </w:p>
        </w:tc>
      </w:tr>
      <w:tr w:rsidR="00552964" w:rsidRPr="00552964" w14:paraId="028D7EEA" w14:textId="77777777" w:rsidTr="00CB4A1E">
        <w:trPr>
          <w:jc w:val="center"/>
        </w:trPr>
        <w:tc>
          <w:tcPr>
            <w:tcW w:w="4315" w:type="dxa"/>
            <w:shd w:val="clear" w:color="auto" w:fill="auto"/>
          </w:tcPr>
          <w:p w14:paraId="294EBAC6" w14:textId="77777777" w:rsidR="00552964" w:rsidRPr="00552964" w:rsidRDefault="00552964" w:rsidP="00DB1079">
            <w:pPr>
              <w:pStyle w:val="NoSpacing"/>
              <w:rPr>
                <w:szCs w:val="24"/>
              </w:rPr>
            </w:pPr>
            <w:r w:rsidRPr="00552964">
              <w:rPr>
                <w:szCs w:val="24"/>
              </w:rPr>
              <w:t>Respiration</w:t>
            </w:r>
          </w:p>
        </w:tc>
        <w:tc>
          <w:tcPr>
            <w:tcW w:w="1800" w:type="dxa"/>
            <w:shd w:val="clear" w:color="auto" w:fill="auto"/>
          </w:tcPr>
          <w:p w14:paraId="4C60196B" w14:textId="77777777" w:rsidR="00552964" w:rsidRPr="00552964" w:rsidRDefault="00552964" w:rsidP="00DB1079">
            <w:pPr>
              <w:pStyle w:val="NoSpacing"/>
              <w:rPr>
                <w:szCs w:val="24"/>
              </w:rPr>
            </w:pPr>
          </w:p>
        </w:tc>
        <w:tc>
          <w:tcPr>
            <w:tcW w:w="1800" w:type="dxa"/>
            <w:shd w:val="clear" w:color="auto" w:fill="auto"/>
          </w:tcPr>
          <w:p w14:paraId="1DBBEF65" w14:textId="77777777" w:rsidR="00552964" w:rsidRPr="00552964" w:rsidRDefault="00552964" w:rsidP="00DB1079">
            <w:pPr>
              <w:pStyle w:val="NoSpacing"/>
              <w:rPr>
                <w:b/>
                <w:szCs w:val="24"/>
              </w:rPr>
            </w:pPr>
          </w:p>
        </w:tc>
        <w:tc>
          <w:tcPr>
            <w:tcW w:w="1346" w:type="dxa"/>
            <w:shd w:val="clear" w:color="auto" w:fill="auto"/>
          </w:tcPr>
          <w:p w14:paraId="4DDBC125" w14:textId="77777777" w:rsidR="00552964" w:rsidRPr="00552964" w:rsidRDefault="00552964" w:rsidP="004D57FB">
            <w:pPr>
              <w:pStyle w:val="NoSpacing"/>
              <w:jc w:val="center"/>
              <w:rPr>
                <w:szCs w:val="24"/>
              </w:rPr>
            </w:pPr>
          </w:p>
        </w:tc>
      </w:tr>
      <w:tr w:rsidR="00552964" w:rsidRPr="00552964" w14:paraId="71A8DE13" w14:textId="77777777" w:rsidTr="00CB4A1E">
        <w:trPr>
          <w:jc w:val="center"/>
        </w:trPr>
        <w:tc>
          <w:tcPr>
            <w:tcW w:w="4315" w:type="dxa"/>
            <w:shd w:val="clear" w:color="auto" w:fill="auto"/>
          </w:tcPr>
          <w:p w14:paraId="094A7BA7" w14:textId="77777777" w:rsidR="00552964" w:rsidRPr="00552964" w:rsidRDefault="00552964" w:rsidP="00DB1079">
            <w:pPr>
              <w:pStyle w:val="NoSpacing"/>
              <w:rPr>
                <w:szCs w:val="24"/>
              </w:rPr>
            </w:pPr>
            <w:r w:rsidRPr="00552964">
              <w:rPr>
                <w:szCs w:val="24"/>
              </w:rPr>
              <w:t>Pulse Oximetry</w:t>
            </w:r>
            <w:r w:rsidR="00A93F85">
              <w:rPr>
                <w:szCs w:val="24"/>
              </w:rPr>
              <w:t xml:space="preserve"> </w:t>
            </w:r>
            <w:r w:rsidR="00A93F85" w:rsidRPr="00A93F85">
              <w:rPr>
                <w:szCs w:val="24"/>
              </w:rPr>
              <w:t>(note if with oxygen)</w:t>
            </w:r>
          </w:p>
        </w:tc>
        <w:tc>
          <w:tcPr>
            <w:tcW w:w="1800" w:type="dxa"/>
            <w:shd w:val="clear" w:color="auto" w:fill="auto"/>
          </w:tcPr>
          <w:p w14:paraId="09766255" w14:textId="77777777" w:rsidR="00552964" w:rsidRPr="00552964" w:rsidRDefault="00552964" w:rsidP="00DB1079">
            <w:pPr>
              <w:pStyle w:val="NoSpacing"/>
              <w:rPr>
                <w:szCs w:val="24"/>
              </w:rPr>
            </w:pPr>
          </w:p>
        </w:tc>
        <w:tc>
          <w:tcPr>
            <w:tcW w:w="1800" w:type="dxa"/>
            <w:shd w:val="clear" w:color="auto" w:fill="auto"/>
          </w:tcPr>
          <w:p w14:paraId="1DA704E1" w14:textId="77777777" w:rsidR="00552964" w:rsidRPr="00552964" w:rsidRDefault="00552964" w:rsidP="00DB1079">
            <w:pPr>
              <w:pStyle w:val="NoSpacing"/>
              <w:rPr>
                <w:b/>
                <w:szCs w:val="24"/>
              </w:rPr>
            </w:pPr>
          </w:p>
        </w:tc>
        <w:tc>
          <w:tcPr>
            <w:tcW w:w="1346" w:type="dxa"/>
            <w:shd w:val="clear" w:color="auto" w:fill="auto"/>
          </w:tcPr>
          <w:p w14:paraId="2B72E430" w14:textId="77777777" w:rsidR="00552964" w:rsidRPr="00552964" w:rsidRDefault="00552964" w:rsidP="004D57FB">
            <w:pPr>
              <w:pStyle w:val="NoSpacing"/>
              <w:jc w:val="center"/>
              <w:rPr>
                <w:szCs w:val="24"/>
              </w:rPr>
            </w:pPr>
          </w:p>
        </w:tc>
      </w:tr>
    </w:tbl>
    <w:p w14:paraId="54D5A885" w14:textId="77777777" w:rsidR="006D6284" w:rsidRDefault="006D6284" w:rsidP="00617172">
      <w:pPr>
        <w:pStyle w:val="NoSpacing"/>
      </w:pPr>
    </w:p>
    <w:p w14:paraId="23AECC90" w14:textId="428D9D06" w:rsidR="00552964" w:rsidRPr="0099404B" w:rsidRDefault="004F6679" w:rsidP="00617172">
      <w:pPr>
        <w:pStyle w:val="NoSpacing"/>
        <w:jc w:val="center"/>
        <w:rPr>
          <w:rFonts w:eastAsia="Calibri" w:cs="Times New Roman"/>
          <w:b/>
        </w:rPr>
      </w:pPr>
      <w:r>
        <w:rPr>
          <w:rFonts w:eastAsia="Calibri" w:cs="Times New Roman"/>
          <w:b/>
        </w:rPr>
        <w:t xml:space="preserve">Clinical </w:t>
      </w:r>
      <w:r w:rsidR="00552964" w:rsidRPr="0099404B">
        <w:rPr>
          <w:rFonts w:eastAsia="Calibri" w:cs="Times New Roman"/>
          <w:b/>
        </w:rPr>
        <w:t>Justification for Appeal</w:t>
      </w:r>
    </w:p>
    <w:p w14:paraId="03EA666A" w14:textId="77777777" w:rsidR="00552964" w:rsidRPr="00DB1596" w:rsidRDefault="00552964" w:rsidP="00617172">
      <w:pPr>
        <w:pStyle w:val="NoSpacing"/>
        <w:rPr>
          <w:rFonts w:eastAsia="Calibri" w:cs="Times New Roman"/>
          <w:szCs w:val="24"/>
        </w:rPr>
      </w:pPr>
    </w:p>
    <w:p w14:paraId="5BE0D033" w14:textId="77777777" w:rsidR="00DB1596" w:rsidRPr="008879E9" w:rsidRDefault="00552964" w:rsidP="00DB1596">
      <w:pPr>
        <w:spacing w:after="0" w:line="240" w:lineRule="auto"/>
        <w:rPr>
          <w:rFonts w:ascii="Times New Roman" w:eastAsia="Calibri" w:hAnsi="Times New Roman" w:cs="Times New Roman"/>
          <w:iCs/>
          <w:sz w:val="24"/>
          <w:szCs w:val="24"/>
        </w:rPr>
      </w:pPr>
      <w:r w:rsidRPr="00DB1596">
        <w:rPr>
          <w:rFonts w:ascii="Times New Roman" w:eastAsia="Calibri" w:hAnsi="Times New Roman" w:cs="Times New Roman"/>
          <w:sz w:val="24"/>
          <w:szCs w:val="24"/>
        </w:rPr>
        <w:t xml:space="preserve">The arguments presented below justify the inclusion of </w:t>
      </w:r>
      <w:r w:rsidRPr="008879E9">
        <w:rPr>
          <w:rFonts w:ascii="Times New Roman" w:eastAsia="Calibri" w:hAnsi="Times New Roman" w:cs="Times New Roman"/>
          <w:iCs/>
          <w:color w:val="FF0000"/>
          <w:sz w:val="24"/>
          <w:szCs w:val="24"/>
        </w:rPr>
        <w:t>SPECIFY</w:t>
      </w:r>
      <w:r w:rsidR="00087A36" w:rsidRPr="008879E9">
        <w:rPr>
          <w:rFonts w:ascii="Times New Roman" w:eastAsia="Calibri" w:hAnsi="Times New Roman" w:cs="Times New Roman"/>
          <w:iCs/>
          <w:color w:val="FF0000"/>
          <w:sz w:val="24"/>
          <w:szCs w:val="24"/>
        </w:rPr>
        <w:t xml:space="preserve"> diagnosis </w:t>
      </w:r>
      <w:r w:rsidRPr="008879E9">
        <w:rPr>
          <w:rFonts w:ascii="Times New Roman" w:eastAsia="Calibri" w:hAnsi="Times New Roman" w:cs="Times New Roman"/>
          <w:iCs/>
          <w:sz w:val="24"/>
          <w:szCs w:val="24"/>
        </w:rPr>
        <w:t xml:space="preserve">as a valid diagnosis for the following reasons: </w:t>
      </w:r>
    </w:p>
    <w:p w14:paraId="5AA00E4A" w14:textId="77777777" w:rsidR="00DB1596" w:rsidRPr="008879E9" w:rsidRDefault="00DB1596" w:rsidP="00DB1596">
      <w:pPr>
        <w:spacing w:after="0" w:line="240" w:lineRule="auto"/>
        <w:rPr>
          <w:rFonts w:ascii="Times New Roman" w:eastAsia="Calibri" w:hAnsi="Times New Roman" w:cs="Times New Roman"/>
          <w:iCs/>
          <w:sz w:val="24"/>
        </w:rPr>
      </w:pPr>
    </w:p>
    <w:p w14:paraId="49511DF3" w14:textId="77777777" w:rsidR="00DB1596" w:rsidRPr="008879E9" w:rsidRDefault="00DB1596" w:rsidP="00DB1596">
      <w:pPr>
        <w:pStyle w:val="ListParagraph"/>
        <w:numPr>
          <w:ilvl w:val="0"/>
          <w:numId w:val="20"/>
        </w:numPr>
        <w:spacing w:after="0" w:line="240" w:lineRule="auto"/>
        <w:rPr>
          <w:rFonts w:ascii="Times New Roman" w:eastAsia="Calibri" w:hAnsi="Times New Roman" w:cs="Times New Roman"/>
          <w:iCs/>
          <w:color w:val="FF0000"/>
          <w:sz w:val="24"/>
        </w:rPr>
      </w:pPr>
      <w:r w:rsidRPr="008879E9">
        <w:rPr>
          <w:rFonts w:ascii="Times New Roman" w:eastAsia="Calibri" w:hAnsi="Times New Roman" w:cs="Times New Roman"/>
          <w:iCs/>
          <w:sz w:val="24"/>
        </w:rPr>
        <w:t xml:space="preserve">The clinical information contained in the medical record is consistent with evidence-based guidelines for establishing the diagnosis.  Shortly after birth, the neonatal assessment and plan of care included clinical evaluation, monitoring, and management of the infant’s </w:t>
      </w:r>
      <w:r w:rsidRPr="008879E9">
        <w:rPr>
          <w:rFonts w:ascii="Times New Roman" w:eastAsia="Calibri" w:hAnsi="Times New Roman" w:cs="Times New Roman"/>
          <w:iCs/>
          <w:color w:val="FF0000"/>
          <w:sz w:val="24"/>
        </w:rPr>
        <w:t>specify diagnosis</w:t>
      </w:r>
      <w:r w:rsidRPr="008879E9">
        <w:rPr>
          <w:rFonts w:ascii="Times New Roman" w:eastAsia="Calibri" w:hAnsi="Times New Roman" w:cs="Times New Roman"/>
          <w:iCs/>
          <w:sz w:val="24"/>
        </w:rPr>
        <w:t xml:space="preserve">. This is evidenced by documentation in the medical record of </w:t>
      </w:r>
      <w:r w:rsidRPr="008879E9">
        <w:rPr>
          <w:rFonts w:ascii="Times New Roman" w:eastAsia="Calibri" w:hAnsi="Times New Roman" w:cs="Times New Roman"/>
          <w:iCs/>
          <w:color w:val="FF0000"/>
          <w:sz w:val="24"/>
        </w:rPr>
        <w:t>briefly specify how the elements were met.</w:t>
      </w:r>
    </w:p>
    <w:p w14:paraId="47F6D0CA" w14:textId="77777777" w:rsidR="00DB1596" w:rsidRPr="008879E9" w:rsidRDefault="00DB1596" w:rsidP="00DB1596">
      <w:pPr>
        <w:spacing w:after="0" w:line="240" w:lineRule="auto"/>
        <w:ind w:firstLine="60"/>
        <w:rPr>
          <w:rFonts w:ascii="Times New Roman" w:eastAsia="Calibri" w:hAnsi="Times New Roman" w:cs="Times New Roman"/>
          <w:iCs/>
          <w:sz w:val="24"/>
        </w:rPr>
      </w:pPr>
    </w:p>
    <w:p w14:paraId="62B4A33B" w14:textId="77777777" w:rsidR="00DB1596" w:rsidRPr="008879E9" w:rsidRDefault="00DB1596" w:rsidP="00DB1596">
      <w:pPr>
        <w:pStyle w:val="ListParagraph"/>
        <w:numPr>
          <w:ilvl w:val="0"/>
          <w:numId w:val="20"/>
        </w:numPr>
        <w:rPr>
          <w:rFonts w:ascii="Times New Roman" w:eastAsia="Calibri" w:hAnsi="Times New Roman" w:cs="Times New Roman"/>
          <w:iCs/>
          <w:sz w:val="24"/>
        </w:rPr>
      </w:pPr>
      <w:r w:rsidRPr="008879E9">
        <w:rPr>
          <w:rFonts w:ascii="Times New Roman" w:eastAsia="Calibri" w:hAnsi="Times New Roman" w:cs="Times New Roman"/>
          <w:iCs/>
          <w:sz w:val="24"/>
          <w:szCs w:val="24"/>
        </w:rPr>
        <w:t xml:space="preserve">Inclusion of </w:t>
      </w:r>
      <w:r w:rsidRPr="008879E9">
        <w:rPr>
          <w:rFonts w:ascii="Times New Roman" w:eastAsia="Calibri" w:hAnsi="Times New Roman" w:cs="Times New Roman"/>
          <w:iCs/>
          <w:color w:val="FF0000"/>
          <w:sz w:val="24"/>
          <w:szCs w:val="24"/>
        </w:rPr>
        <w:t>Specify</w:t>
      </w:r>
      <w:r w:rsidRPr="008879E9">
        <w:rPr>
          <w:rFonts w:ascii="Times New Roman" w:eastAsia="Calibri" w:hAnsi="Times New Roman" w:cs="Times New Roman"/>
          <w:iCs/>
          <w:sz w:val="24"/>
          <w:szCs w:val="24"/>
        </w:rPr>
        <w:t xml:space="preserve"> </w:t>
      </w:r>
      <w:r w:rsidRPr="008879E9">
        <w:rPr>
          <w:rFonts w:ascii="Times New Roman" w:eastAsia="Calibri" w:hAnsi="Times New Roman" w:cs="Times New Roman"/>
          <w:iCs/>
          <w:color w:val="FF0000"/>
          <w:sz w:val="24"/>
        </w:rPr>
        <w:t>Diagnosis</w:t>
      </w:r>
      <w:r w:rsidRPr="008879E9">
        <w:rPr>
          <w:rFonts w:ascii="Times New Roman" w:eastAsia="Calibri" w:hAnsi="Times New Roman" w:cs="Times New Roman"/>
          <w:iCs/>
          <w:sz w:val="24"/>
        </w:rPr>
        <w:t xml:space="preserve"> </w:t>
      </w:r>
      <w:r w:rsidRPr="008879E9">
        <w:rPr>
          <w:rFonts w:ascii="Times New Roman" w:eastAsia="Calibri" w:hAnsi="Times New Roman" w:cs="Times New Roman"/>
          <w:iCs/>
          <w:sz w:val="24"/>
          <w:szCs w:val="24"/>
        </w:rPr>
        <w:t xml:space="preserve">on the billed claim is in accordance with the Uniform Hospital Discharge Data Set (UHDDS) and ICD-10-CM Official Coding Guidelines, </w:t>
      </w:r>
      <w:r w:rsidRPr="008879E9">
        <w:rPr>
          <w:rFonts w:ascii="Times New Roman" w:eastAsia="Calibri" w:hAnsi="Times New Roman" w:cs="Times New Roman"/>
          <w:bCs/>
          <w:iCs/>
          <w:sz w:val="24"/>
          <w:szCs w:val="24"/>
        </w:rPr>
        <w:t xml:space="preserve">and </w:t>
      </w:r>
      <w:r w:rsidRPr="008879E9">
        <w:rPr>
          <w:rFonts w:ascii="Times New Roman" w:eastAsia="Calibri" w:hAnsi="Times New Roman" w:cs="Times New Roman"/>
          <w:bCs/>
          <w:iCs/>
          <w:sz w:val="24"/>
          <w:szCs w:val="24"/>
        </w:rPr>
        <w:lastRenderedPageBreak/>
        <w:t>AHA Coding Clinic</w:t>
      </w:r>
      <w:r w:rsidRPr="008879E9">
        <w:rPr>
          <w:rFonts w:ascii="Times New Roman" w:eastAsia="Calibri" w:hAnsi="Times New Roman" w:cs="Times New Roman"/>
          <w:bCs/>
          <w:iCs/>
          <w:sz w:val="24"/>
          <w:szCs w:val="24"/>
          <w:u w:val="single"/>
        </w:rPr>
        <w:t xml:space="preserve"> </w:t>
      </w:r>
      <w:r w:rsidRPr="008879E9">
        <w:rPr>
          <w:rFonts w:ascii="Times New Roman" w:eastAsia="Calibri" w:hAnsi="Times New Roman" w:cs="Times New Roman"/>
          <w:bCs/>
          <w:iCs/>
          <w:sz w:val="24"/>
          <w:szCs w:val="24"/>
        </w:rPr>
        <w:t>Guidelines</w:t>
      </w:r>
      <w:r w:rsidRPr="008879E9">
        <w:rPr>
          <w:rFonts w:ascii="Times New Roman" w:eastAsia="Calibri" w:hAnsi="Times New Roman" w:cs="Times New Roman"/>
          <w:iCs/>
          <w:sz w:val="24"/>
          <w:szCs w:val="24"/>
        </w:rPr>
        <w:t xml:space="preserve"> </w:t>
      </w:r>
      <w:r w:rsidRPr="008879E9">
        <w:rPr>
          <w:rFonts w:ascii="Times New Roman" w:eastAsia="Calibri" w:hAnsi="Times New Roman" w:cs="Times New Roman"/>
          <w:bCs/>
          <w:iCs/>
          <w:sz w:val="24"/>
          <w:szCs w:val="24"/>
        </w:rPr>
        <w:t>(see citations below).</w:t>
      </w:r>
      <w:r w:rsidRPr="008879E9">
        <w:rPr>
          <w:rFonts w:ascii="Times New Roman" w:eastAsia="Calibri" w:hAnsi="Times New Roman" w:cs="Times New Roman"/>
          <w:iCs/>
          <w:sz w:val="24"/>
        </w:rPr>
        <w:t xml:space="preserve"> There is no disclosure indicating the payer’s contract provisions vary from Uniform Hospital Discharge Data Set (UHDDS) and ICD-10-CM Official Coding Guidelines. </w:t>
      </w:r>
    </w:p>
    <w:p w14:paraId="46E70412" w14:textId="77777777" w:rsidR="00DB1596" w:rsidRPr="008879E9" w:rsidRDefault="00DB1596" w:rsidP="00DB1596">
      <w:pPr>
        <w:pStyle w:val="ListParagraph"/>
        <w:ind w:left="630"/>
        <w:rPr>
          <w:rFonts w:ascii="Times New Roman" w:eastAsia="Calibri" w:hAnsi="Times New Roman" w:cs="Times New Roman"/>
          <w:iCs/>
          <w:sz w:val="24"/>
        </w:rPr>
      </w:pPr>
    </w:p>
    <w:p w14:paraId="27940720" w14:textId="77777777" w:rsidR="00DB1596" w:rsidRPr="00750F22" w:rsidRDefault="00DB1596" w:rsidP="00DB1596">
      <w:pPr>
        <w:pStyle w:val="ListParagraph"/>
        <w:numPr>
          <w:ilvl w:val="0"/>
          <w:numId w:val="20"/>
        </w:numPr>
        <w:spacing w:after="0" w:line="240" w:lineRule="auto"/>
        <w:rPr>
          <w:rFonts w:ascii="Times New Roman" w:eastAsia="Calibri" w:hAnsi="Times New Roman" w:cs="Times New Roman"/>
          <w:i/>
          <w:sz w:val="24"/>
        </w:rPr>
      </w:pPr>
      <w:r w:rsidRPr="008879E9">
        <w:rPr>
          <w:rFonts w:ascii="Times New Roman" w:eastAsia="Calibri" w:hAnsi="Times New Roman" w:cs="Times New Roman"/>
          <w:iCs/>
          <w:sz w:val="24"/>
        </w:rPr>
        <w:t xml:space="preserve">A team of licensed providers </w:t>
      </w:r>
      <w:r w:rsidRPr="008879E9">
        <w:rPr>
          <w:rFonts w:ascii="Times New Roman" w:eastAsia="Calibri" w:hAnsi="Times New Roman" w:cs="Times New Roman"/>
          <w:iCs/>
          <w:color w:val="FF0000"/>
          <w:sz w:val="24"/>
        </w:rPr>
        <w:t>(including a pediatrician/neonatologist)</w:t>
      </w:r>
      <w:r w:rsidRPr="008879E9">
        <w:rPr>
          <w:rFonts w:ascii="Times New Roman" w:eastAsia="Calibri" w:hAnsi="Times New Roman" w:cs="Times New Roman"/>
          <w:iCs/>
          <w:sz w:val="24"/>
        </w:rPr>
        <w:t>,</w:t>
      </w:r>
      <w:r w:rsidRPr="00086C15">
        <w:rPr>
          <w:rFonts w:ascii="Times New Roman" w:eastAsia="Calibri" w:hAnsi="Times New Roman" w:cs="Times New Roman"/>
          <w:sz w:val="24"/>
        </w:rPr>
        <w:t xml:space="preserve"> responsible for the care of the patient, entered the diagnosis into the medical record. </w:t>
      </w:r>
    </w:p>
    <w:p w14:paraId="74E20F45" w14:textId="77777777" w:rsidR="00DB1596" w:rsidRPr="00750F22" w:rsidRDefault="00DB1596" w:rsidP="00DB1596">
      <w:pPr>
        <w:pStyle w:val="ListParagraph"/>
        <w:spacing w:after="0" w:line="240" w:lineRule="auto"/>
        <w:ind w:left="630"/>
        <w:rPr>
          <w:rFonts w:ascii="Times New Roman" w:eastAsia="Calibri" w:hAnsi="Times New Roman" w:cs="Times New Roman"/>
          <w:i/>
          <w:sz w:val="24"/>
        </w:rPr>
      </w:pPr>
    </w:p>
    <w:p w14:paraId="1F70B032" w14:textId="77777777" w:rsidR="00DB1596" w:rsidRPr="00954F8D" w:rsidRDefault="00DB1596" w:rsidP="00DB1596">
      <w:pPr>
        <w:pStyle w:val="ListParagraph"/>
        <w:numPr>
          <w:ilvl w:val="0"/>
          <w:numId w:val="20"/>
        </w:numPr>
        <w:spacing w:after="0" w:line="240" w:lineRule="auto"/>
        <w:rPr>
          <w:rFonts w:ascii="Times New Roman" w:eastAsia="Calibri" w:hAnsi="Times New Roman" w:cs="Times New Roman"/>
          <w:sz w:val="24"/>
        </w:rPr>
      </w:pPr>
      <w:r w:rsidRPr="00954F8D">
        <w:rPr>
          <w:rFonts w:ascii="Times New Roman" w:eastAsia="Calibri" w:hAnsi="Times New Roman" w:cs="Times New Roman"/>
          <w:color w:val="FF0000"/>
          <w:sz w:val="24"/>
        </w:rPr>
        <w:t>Further, there is no disclosure regarding consultation with a coder or clinician who has the expertise to understand and apply these guidelines. Accordingly, disclosure of this information is requested.</w:t>
      </w:r>
    </w:p>
    <w:p w14:paraId="3830E798" w14:textId="77777777" w:rsidR="00DB1596" w:rsidRDefault="00DB1596" w:rsidP="00DB1596">
      <w:pPr>
        <w:pStyle w:val="NoSpacing"/>
        <w:rPr>
          <w:rFonts w:eastAsia="Calibri" w:cs="Times New Roman"/>
          <w:b/>
        </w:rPr>
      </w:pPr>
    </w:p>
    <w:p w14:paraId="00C34BDF" w14:textId="77777777" w:rsidR="00DB1596" w:rsidRPr="00210FCC" w:rsidRDefault="00DB1596" w:rsidP="00DB1596">
      <w:pPr>
        <w:spacing w:after="0" w:line="240" w:lineRule="auto"/>
        <w:jc w:val="center"/>
        <w:rPr>
          <w:rFonts w:ascii="Times New Roman" w:eastAsia="Calibri" w:hAnsi="Times New Roman" w:cs="Times New Roman"/>
          <w:b/>
          <w:sz w:val="24"/>
        </w:rPr>
      </w:pPr>
      <w:r w:rsidRPr="00210FCC">
        <w:rPr>
          <w:rFonts w:ascii="Times New Roman" w:eastAsia="Calibri" w:hAnsi="Times New Roman" w:cs="Times New Roman"/>
          <w:b/>
          <w:sz w:val="24"/>
        </w:rPr>
        <w:t>Coding References</w:t>
      </w:r>
    </w:p>
    <w:p w14:paraId="521935A8" w14:textId="77777777" w:rsidR="00DB1596" w:rsidRDefault="00DB1596" w:rsidP="00DB1596">
      <w:pPr>
        <w:pStyle w:val="NoSpacing"/>
        <w:rPr>
          <w:rFonts w:eastAsia="Calibri" w:cs="Times New Roman"/>
          <w:b/>
        </w:rPr>
      </w:pPr>
    </w:p>
    <w:p w14:paraId="3E1FD4B6" w14:textId="5EC38BED" w:rsidR="00F67A90" w:rsidRPr="00F67A90" w:rsidRDefault="00F67A90" w:rsidP="00F67A90">
      <w:pPr>
        <w:spacing w:after="0" w:line="240" w:lineRule="auto"/>
        <w:rPr>
          <w:rFonts w:ascii="Times New Roman" w:eastAsia="Calibri" w:hAnsi="Times New Roman" w:cs="Times New Roman"/>
          <w:b/>
          <w:sz w:val="24"/>
        </w:rPr>
      </w:pPr>
      <w:bookmarkStart w:id="2" w:name="_Hlk153181667"/>
      <w:r w:rsidRPr="00F67A90">
        <w:rPr>
          <w:rFonts w:ascii="Times New Roman" w:eastAsia="Calibri" w:hAnsi="Times New Roman" w:cs="Times New Roman"/>
          <w:b/>
          <w:sz w:val="24"/>
        </w:rPr>
        <w:t>AHA Coding Handbook, Prematurity, Low Birth Weight, and Postmaturity, Perinatal Conditions</w:t>
      </w:r>
      <w:r>
        <w:rPr>
          <w:rFonts w:ascii="Times New Roman" w:eastAsia="Calibri" w:hAnsi="Times New Roman" w:cs="Times New Roman"/>
          <w:b/>
          <w:sz w:val="24"/>
        </w:rPr>
        <w:t xml:space="preserve"> (2024)</w:t>
      </w:r>
      <w:r w:rsidRPr="00F67A90">
        <w:rPr>
          <w:rFonts w:ascii="Times New Roman" w:eastAsia="Calibri" w:hAnsi="Times New Roman" w:cs="Times New Roman"/>
          <w:b/>
          <w:sz w:val="24"/>
        </w:rPr>
        <w:t>.</w:t>
      </w:r>
    </w:p>
    <w:p w14:paraId="7163D6CD" w14:textId="77777777" w:rsidR="00F67A90" w:rsidRDefault="00F67A90" w:rsidP="00DB1596">
      <w:pPr>
        <w:spacing w:after="0" w:line="240" w:lineRule="auto"/>
        <w:rPr>
          <w:rFonts w:ascii="Times New Roman" w:eastAsia="Calibri" w:hAnsi="Times New Roman" w:cs="Times New Roman"/>
          <w:b/>
          <w:bCs/>
          <w:sz w:val="24"/>
        </w:rPr>
      </w:pPr>
    </w:p>
    <w:p w14:paraId="6263E165" w14:textId="0EDBFC8F" w:rsidR="00F67A90" w:rsidRPr="00F67A90" w:rsidRDefault="00F67A90" w:rsidP="00F67A90">
      <w:pPr>
        <w:spacing w:after="0" w:line="240" w:lineRule="auto"/>
        <w:rPr>
          <w:rFonts w:ascii="Times New Roman" w:eastAsia="Calibri" w:hAnsi="Times New Roman" w:cs="Times New Roman"/>
          <w:bCs/>
          <w:sz w:val="24"/>
        </w:rPr>
      </w:pPr>
      <w:r w:rsidRPr="00F67A90">
        <w:rPr>
          <w:rFonts w:ascii="Times New Roman" w:eastAsia="Calibri" w:hAnsi="Times New Roman" w:cs="Times New Roman"/>
          <w:bCs/>
          <w:sz w:val="24"/>
        </w:rPr>
        <w:t xml:space="preserve">To indicate the birth weight, fifth characters are assigned to codes for low birth weight newborns (P07.0- to P07.1-), newborn light for gestational age (P05.0-), and newborn small for gestational age (P05.1-). Note that the weight expressed by the fifth character should be reasonably consistent with the four-character code to which it is applied. Although most preterm births (liveborn infant less than 37 completed weeks of gestation) are associated with low birth weight, at least 10 percent of newborns in their 37th week of gestation weigh more than 2,500 grams. Code P05.09, Newborn light for gestational age, 2500 grams and over, is assigned for a newborn who is light for gestational age but weighs more than 2,500 grams. Code P05.19, Newborn small for gestational age, other, should be assigned for an infant who is small for gestational age but weighs 2,500 grams or more. </w:t>
      </w:r>
    </w:p>
    <w:p w14:paraId="5DA57D6C" w14:textId="77777777" w:rsidR="00F67A90" w:rsidRDefault="00F67A90" w:rsidP="00DB1596">
      <w:pPr>
        <w:spacing w:after="0" w:line="240" w:lineRule="auto"/>
        <w:rPr>
          <w:rFonts w:ascii="Times New Roman" w:eastAsia="Calibri" w:hAnsi="Times New Roman" w:cs="Times New Roman"/>
          <w:b/>
          <w:sz w:val="24"/>
        </w:rPr>
      </w:pPr>
    </w:p>
    <w:p w14:paraId="28B36F0A" w14:textId="16D1DEB8" w:rsidR="00DB1596" w:rsidRPr="00210FCC" w:rsidRDefault="00DB1596" w:rsidP="00DB1596">
      <w:pPr>
        <w:spacing w:after="0" w:line="240" w:lineRule="auto"/>
        <w:rPr>
          <w:rFonts w:ascii="Times New Roman" w:eastAsia="Calibri" w:hAnsi="Times New Roman" w:cs="Times New Roman"/>
          <w:b/>
          <w:sz w:val="24"/>
        </w:rPr>
      </w:pPr>
      <w:bookmarkStart w:id="3" w:name="_Hlk183242878"/>
      <w:r w:rsidRPr="00210FCC">
        <w:rPr>
          <w:rFonts w:ascii="Times New Roman" w:eastAsia="Calibri" w:hAnsi="Times New Roman" w:cs="Times New Roman"/>
          <w:b/>
          <w:sz w:val="24"/>
        </w:rPr>
        <w:t xml:space="preserve">ICD-10-CM Official Guidelines for Coding and Reporting </w:t>
      </w:r>
      <w:bookmarkEnd w:id="3"/>
    </w:p>
    <w:p w14:paraId="06B7A415" w14:textId="77777777" w:rsidR="00DB1596" w:rsidRPr="00210FCC" w:rsidRDefault="00DB1596" w:rsidP="00DB1596">
      <w:pPr>
        <w:spacing w:after="0" w:line="240" w:lineRule="auto"/>
        <w:jc w:val="both"/>
        <w:rPr>
          <w:rFonts w:ascii="Times New Roman" w:eastAsia="Calibri" w:hAnsi="Times New Roman" w:cs="Times New Roman"/>
          <w:b/>
          <w:sz w:val="24"/>
        </w:rPr>
      </w:pPr>
    </w:p>
    <w:p w14:paraId="4E1E7E1D" w14:textId="77777777" w:rsidR="00DB1596" w:rsidRPr="00FB697C" w:rsidRDefault="00DB1596" w:rsidP="00DB1596">
      <w:pPr>
        <w:spacing w:after="0" w:line="240" w:lineRule="auto"/>
        <w:rPr>
          <w:rFonts w:ascii="Times New Roman" w:eastAsia="Calibri" w:hAnsi="Times New Roman" w:cs="Times New Roman"/>
          <w:b/>
          <w:sz w:val="24"/>
        </w:rPr>
      </w:pPr>
      <w:bookmarkStart w:id="4" w:name="_Hlk152771520"/>
      <w:r>
        <w:rPr>
          <w:rFonts w:ascii="Times New Roman" w:eastAsia="Calibri" w:hAnsi="Times New Roman" w:cs="Times New Roman"/>
          <w:b/>
          <w:sz w:val="24"/>
        </w:rPr>
        <w:t>II.H</w:t>
      </w:r>
      <w:r w:rsidRPr="00FB697C">
        <w:rPr>
          <w:rFonts w:ascii="Times New Roman" w:eastAsia="Calibri" w:hAnsi="Times New Roman" w:cs="Times New Roman"/>
          <w:b/>
          <w:sz w:val="24"/>
        </w:rPr>
        <w:t>. Uncertain Diagnosis</w:t>
      </w:r>
    </w:p>
    <w:p w14:paraId="02D8F921" w14:textId="77777777" w:rsidR="00DB1596" w:rsidRDefault="00DB1596" w:rsidP="00DB1596">
      <w:pPr>
        <w:spacing w:after="0" w:line="240" w:lineRule="auto"/>
        <w:jc w:val="both"/>
        <w:rPr>
          <w:rFonts w:ascii="Times New Roman" w:eastAsia="Calibri" w:hAnsi="Times New Roman" w:cs="Times New Roman"/>
          <w:sz w:val="24"/>
        </w:rPr>
      </w:pPr>
      <w:r w:rsidRPr="00924B7C">
        <w:rPr>
          <w:rFonts w:ascii="Times New Roman" w:eastAsia="Calibri" w:hAnsi="Times New Roman" w:cs="Times New Roman"/>
          <w:sz w:val="24"/>
        </w:rPr>
        <w:t>If the diagnosis documented at the time of discharge is qualified as “probable,” “suspected,” “likely,” “questionable,” “possible,” or “still to be ruled out,” “compatible with,” “consistent with,” or other similar terms indicating uncertainty, code the condition as if it existed or was established. The bases for these guidelines are the diagnostic workup, arrangements for further workup or observation, and initial therapeutic approach that correspond most closely with the established diagnosis.</w:t>
      </w:r>
    </w:p>
    <w:bookmarkEnd w:id="4"/>
    <w:p w14:paraId="58DA0B41" w14:textId="77777777" w:rsidR="00DB1596" w:rsidRDefault="00DB1596" w:rsidP="00DB1596">
      <w:pPr>
        <w:spacing w:after="0" w:line="240" w:lineRule="auto"/>
        <w:jc w:val="both"/>
        <w:rPr>
          <w:rFonts w:ascii="Times New Roman" w:eastAsia="Calibri" w:hAnsi="Times New Roman" w:cs="Times New Roman"/>
          <w:b/>
          <w:sz w:val="24"/>
        </w:rPr>
      </w:pPr>
    </w:p>
    <w:p w14:paraId="3FEE9328" w14:textId="77777777" w:rsidR="00DB1596" w:rsidRPr="00FB697C" w:rsidRDefault="00DB1596" w:rsidP="00DB1596">
      <w:pPr>
        <w:spacing w:after="0" w:line="240" w:lineRule="auto"/>
        <w:jc w:val="both"/>
        <w:rPr>
          <w:rFonts w:ascii="Times New Roman" w:eastAsia="Calibri" w:hAnsi="Times New Roman" w:cs="Times New Roman"/>
          <w:b/>
          <w:sz w:val="24"/>
        </w:rPr>
      </w:pPr>
      <w:r>
        <w:rPr>
          <w:rFonts w:ascii="Times New Roman" w:eastAsia="Calibri" w:hAnsi="Times New Roman" w:cs="Times New Roman"/>
          <w:b/>
          <w:sz w:val="24"/>
        </w:rPr>
        <w:t>I.C.</w:t>
      </w:r>
      <w:r w:rsidRPr="00FB697C">
        <w:rPr>
          <w:rFonts w:ascii="Times New Roman" w:eastAsia="Calibri" w:hAnsi="Times New Roman" w:cs="Times New Roman"/>
          <w:b/>
          <w:sz w:val="24"/>
        </w:rPr>
        <w:t>16. Chapter 16: Certain Conditions Orig</w:t>
      </w:r>
      <w:r>
        <w:rPr>
          <w:rFonts w:ascii="Times New Roman" w:eastAsia="Calibri" w:hAnsi="Times New Roman" w:cs="Times New Roman"/>
          <w:b/>
          <w:sz w:val="24"/>
        </w:rPr>
        <w:t>inating in the Perinatal Period</w:t>
      </w:r>
      <w:r w:rsidRPr="00FB697C">
        <w:rPr>
          <w:rFonts w:ascii="Times New Roman" w:eastAsia="Calibri" w:hAnsi="Times New Roman" w:cs="Times New Roman"/>
          <w:b/>
          <w:sz w:val="24"/>
        </w:rPr>
        <w:t xml:space="preserve"> (P00-P96) </w:t>
      </w:r>
    </w:p>
    <w:p w14:paraId="3E904E82" w14:textId="77777777" w:rsidR="00DB1596" w:rsidRPr="00552964" w:rsidRDefault="00DB1596" w:rsidP="00DB1596">
      <w:pPr>
        <w:spacing w:after="0" w:line="240" w:lineRule="auto"/>
        <w:rPr>
          <w:rFonts w:ascii="Times New Roman" w:eastAsia="Calibri" w:hAnsi="Times New Roman" w:cs="Times New Roman"/>
          <w:sz w:val="24"/>
        </w:rPr>
      </w:pPr>
      <w:r w:rsidRPr="00FB697C">
        <w:rPr>
          <w:rFonts w:ascii="Times New Roman" w:eastAsia="Calibri" w:hAnsi="Times New Roman" w:cs="Times New Roman"/>
          <w:sz w:val="24"/>
        </w:rPr>
        <w:t>For coding and reporting purposes</w:t>
      </w:r>
      <w:r>
        <w:rPr>
          <w:rFonts w:ascii="Times New Roman" w:eastAsia="Calibri" w:hAnsi="Times New Roman" w:cs="Times New Roman"/>
          <w:sz w:val="24"/>
        </w:rPr>
        <w:t>,</w:t>
      </w:r>
      <w:r w:rsidRPr="00FB697C">
        <w:rPr>
          <w:rFonts w:ascii="Times New Roman" w:eastAsia="Calibri" w:hAnsi="Times New Roman" w:cs="Times New Roman"/>
          <w:sz w:val="24"/>
        </w:rPr>
        <w:t xml:space="preserve"> the perinatal period is defined as before birth through the 28th day following birth. The following guidelines are provided for reporting purposes.</w:t>
      </w:r>
    </w:p>
    <w:p w14:paraId="4120970F" w14:textId="77777777" w:rsidR="00DB1596" w:rsidRDefault="00DB1596" w:rsidP="00DB1596">
      <w:pPr>
        <w:spacing w:after="0" w:line="240" w:lineRule="auto"/>
        <w:ind w:firstLine="720"/>
        <w:jc w:val="both"/>
        <w:rPr>
          <w:rFonts w:ascii="Times New Roman" w:eastAsia="Calibri" w:hAnsi="Times New Roman" w:cs="Times New Roman"/>
          <w:b/>
          <w:sz w:val="24"/>
        </w:rPr>
      </w:pPr>
      <w:r w:rsidRPr="00FB697C">
        <w:rPr>
          <w:rFonts w:ascii="Times New Roman" w:eastAsia="Calibri" w:hAnsi="Times New Roman" w:cs="Times New Roman"/>
          <w:b/>
          <w:sz w:val="24"/>
        </w:rPr>
        <w:t xml:space="preserve">a. General Perinatal Rules   </w:t>
      </w:r>
    </w:p>
    <w:p w14:paraId="1A4FFF61" w14:textId="77777777" w:rsidR="00DB1596" w:rsidRPr="00FB697C" w:rsidRDefault="00DB1596" w:rsidP="00DB1596">
      <w:pPr>
        <w:spacing w:after="0" w:line="240" w:lineRule="auto"/>
        <w:ind w:left="720" w:firstLine="720"/>
        <w:rPr>
          <w:rFonts w:ascii="Times New Roman" w:eastAsia="Calibri" w:hAnsi="Times New Roman" w:cs="Times New Roman"/>
          <w:b/>
          <w:sz w:val="24"/>
        </w:rPr>
      </w:pPr>
      <w:r w:rsidRPr="00FB697C">
        <w:rPr>
          <w:rFonts w:ascii="Times New Roman" w:eastAsia="Calibri" w:hAnsi="Times New Roman" w:cs="Times New Roman"/>
          <w:b/>
          <w:sz w:val="24"/>
        </w:rPr>
        <w:t xml:space="preserve">6) Code all clinically significant conditions </w:t>
      </w:r>
    </w:p>
    <w:p w14:paraId="0A04F96B" w14:textId="77777777" w:rsidR="00DB1596" w:rsidRPr="00FB697C" w:rsidRDefault="00DB1596" w:rsidP="00DB1596">
      <w:pPr>
        <w:spacing w:after="0" w:line="240" w:lineRule="auto"/>
        <w:ind w:left="1680"/>
        <w:rPr>
          <w:rFonts w:ascii="Times New Roman" w:eastAsia="Calibri" w:hAnsi="Times New Roman" w:cs="Times New Roman"/>
          <w:sz w:val="24"/>
        </w:rPr>
      </w:pPr>
      <w:r w:rsidRPr="00FB697C">
        <w:rPr>
          <w:rFonts w:ascii="Times New Roman" w:eastAsia="Calibri" w:hAnsi="Times New Roman" w:cs="Times New Roman"/>
          <w:sz w:val="24"/>
        </w:rPr>
        <w:t xml:space="preserve">All clinically significant conditions noted on routine newborn examination </w:t>
      </w:r>
      <w:r>
        <w:rPr>
          <w:rFonts w:ascii="Times New Roman" w:eastAsia="Calibri" w:hAnsi="Times New Roman" w:cs="Times New Roman"/>
          <w:sz w:val="24"/>
        </w:rPr>
        <w:t>should</w:t>
      </w:r>
      <w:r w:rsidRPr="00FB697C">
        <w:rPr>
          <w:rFonts w:ascii="Times New Roman" w:eastAsia="Calibri" w:hAnsi="Times New Roman" w:cs="Times New Roman"/>
          <w:sz w:val="24"/>
        </w:rPr>
        <w:t xml:space="preserve"> be coded. A condition is clinically significant if it requires: </w:t>
      </w:r>
    </w:p>
    <w:p w14:paraId="7BE134CA" w14:textId="77777777" w:rsidR="00DB1596" w:rsidRPr="00E73DA8" w:rsidRDefault="00DB1596" w:rsidP="00DB1596">
      <w:pPr>
        <w:pStyle w:val="NoSpacing"/>
        <w:numPr>
          <w:ilvl w:val="2"/>
          <w:numId w:val="27"/>
        </w:numPr>
        <w:rPr>
          <w:rFonts w:cs="Times New Roman"/>
          <w:szCs w:val="24"/>
        </w:rPr>
      </w:pPr>
      <w:r w:rsidRPr="00E73DA8">
        <w:rPr>
          <w:rFonts w:cs="Times New Roman"/>
          <w:szCs w:val="24"/>
        </w:rPr>
        <w:t xml:space="preserve">Clinical Evaluation; </w:t>
      </w:r>
      <w:r w:rsidRPr="00E73DA8">
        <w:rPr>
          <w:rFonts w:cs="Times New Roman"/>
          <w:i/>
          <w:color w:val="FF0000"/>
          <w:szCs w:val="24"/>
        </w:rPr>
        <w:t>MET as evidenced by</w:t>
      </w:r>
      <w:r w:rsidRPr="00E73DA8">
        <w:rPr>
          <w:rFonts w:cs="Times New Roman"/>
          <w:color w:val="FF0000"/>
          <w:szCs w:val="24"/>
        </w:rPr>
        <w:t xml:space="preserve"> </w:t>
      </w:r>
    </w:p>
    <w:p w14:paraId="09B32F0F" w14:textId="77777777" w:rsidR="00DB1596" w:rsidRPr="00E73DA8" w:rsidRDefault="00DB1596" w:rsidP="00DB1596">
      <w:pPr>
        <w:pStyle w:val="NoSpacing"/>
        <w:numPr>
          <w:ilvl w:val="2"/>
          <w:numId w:val="27"/>
        </w:numPr>
        <w:rPr>
          <w:rFonts w:cs="Times New Roman"/>
          <w:i/>
          <w:color w:val="FF0000"/>
          <w:szCs w:val="24"/>
        </w:rPr>
      </w:pPr>
      <w:r w:rsidRPr="00E73DA8">
        <w:rPr>
          <w:rFonts w:cs="Times New Roman"/>
          <w:szCs w:val="24"/>
        </w:rPr>
        <w:t xml:space="preserve">or Therapeutic Treatment; </w:t>
      </w:r>
      <w:r w:rsidRPr="00E73DA8">
        <w:rPr>
          <w:rFonts w:cs="Times New Roman"/>
          <w:i/>
          <w:color w:val="FF0000"/>
          <w:szCs w:val="24"/>
        </w:rPr>
        <w:t>MET as evidenced by</w:t>
      </w:r>
    </w:p>
    <w:p w14:paraId="3A2107B9" w14:textId="77777777" w:rsidR="00DB1596" w:rsidRPr="00E73DA8" w:rsidRDefault="00DB1596" w:rsidP="00DB1596">
      <w:pPr>
        <w:pStyle w:val="NoSpacing"/>
        <w:numPr>
          <w:ilvl w:val="2"/>
          <w:numId w:val="27"/>
        </w:numPr>
        <w:rPr>
          <w:rFonts w:cs="Times New Roman"/>
          <w:szCs w:val="24"/>
        </w:rPr>
      </w:pPr>
      <w:r w:rsidRPr="00E73DA8">
        <w:rPr>
          <w:rFonts w:cs="Times New Roman"/>
          <w:szCs w:val="24"/>
        </w:rPr>
        <w:lastRenderedPageBreak/>
        <w:t xml:space="preserve">or Diagnostic Procedures; </w:t>
      </w:r>
      <w:r w:rsidRPr="00E73DA8">
        <w:rPr>
          <w:rFonts w:cs="Times New Roman"/>
          <w:i/>
          <w:color w:val="FF0000"/>
          <w:szCs w:val="24"/>
        </w:rPr>
        <w:t>MET as evidenced by</w:t>
      </w:r>
    </w:p>
    <w:p w14:paraId="203223AB" w14:textId="77777777" w:rsidR="00DB1596" w:rsidRPr="00E73DA8" w:rsidRDefault="00DB1596" w:rsidP="00DB1596">
      <w:pPr>
        <w:pStyle w:val="NoSpacing"/>
        <w:numPr>
          <w:ilvl w:val="2"/>
          <w:numId w:val="27"/>
        </w:numPr>
        <w:rPr>
          <w:rFonts w:cs="Times New Roman"/>
          <w:i/>
          <w:color w:val="FF0000"/>
          <w:szCs w:val="24"/>
        </w:rPr>
      </w:pPr>
      <w:r w:rsidRPr="00E73DA8">
        <w:rPr>
          <w:rFonts w:cs="Times New Roman"/>
          <w:szCs w:val="24"/>
        </w:rPr>
        <w:t>or E</w:t>
      </w:r>
      <w:r>
        <w:rPr>
          <w:rFonts w:cs="Times New Roman"/>
          <w:szCs w:val="24"/>
        </w:rPr>
        <w:t>xtended Length of Hospital Stay;</w:t>
      </w:r>
      <w:r w:rsidRPr="00E73DA8">
        <w:rPr>
          <w:rFonts w:cs="Times New Roman"/>
          <w:szCs w:val="24"/>
        </w:rPr>
        <w:t xml:space="preserve"> </w:t>
      </w:r>
      <w:r w:rsidRPr="00E73DA8">
        <w:rPr>
          <w:rFonts w:cs="Times New Roman"/>
          <w:i/>
          <w:color w:val="FF0000"/>
          <w:szCs w:val="24"/>
        </w:rPr>
        <w:t>MET as evidenced by</w:t>
      </w:r>
    </w:p>
    <w:p w14:paraId="3E8F1A55" w14:textId="77777777" w:rsidR="00DB1596" w:rsidRPr="00E73DA8" w:rsidRDefault="00DB1596" w:rsidP="00DB1596">
      <w:pPr>
        <w:pStyle w:val="NoSpacing"/>
        <w:numPr>
          <w:ilvl w:val="2"/>
          <w:numId w:val="27"/>
        </w:numPr>
        <w:rPr>
          <w:rFonts w:cs="Times New Roman"/>
          <w:i/>
          <w:color w:val="FF0000"/>
          <w:szCs w:val="24"/>
        </w:rPr>
      </w:pPr>
      <w:r w:rsidRPr="00E73DA8">
        <w:rPr>
          <w:rFonts w:cs="Times New Roman"/>
          <w:szCs w:val="24"/>
        </w:rPr>
        <w:t>or Increased</w:t>
      </w:r>
      <w:r>
        <w:rPr>
          <w:rFonts w:cs="Times New Roman"/>
          <w:szCs w:val="24"/>
        </w:rPr>
        <w:t xml:space="preserve"> Nursing Care and/or Monitoring;</w:t>
      </w:r>
      <w:r w:rsidRPr="00E73DA8">
        <w:rPr>
          <w:rFonts w:cs="Times New Roman"/>
          <w:szCs w:val="24"/>
        </w:rPr>
        <w:t xml:space="preserve"> </w:t>
      </w:r>
      <w:r w:rsidRPr="00E73DA8">
        <w:rPr>
          <w:rFonts w:cs="Times New Roman"/>
          <w:i/>
          <w:color w:val="FF0000"/>
          <w:szCs w:val="24"/>
        </w:rPr>
        <w:t>MET as evidenced by</w:t>
      </w:r>
    </w:p>
    <w:p w14:paraId="12F20619" w14:textId="77777777" w:rsidR="00DB1596" w:rsidRPr="00E73DA8" w:rsidRDefault="00DB1596" w:rsidP="00DB1596">
      <w:pPr>
        <w:pStyle w:val="NoSpacing"/>
        <w:numPr>
          <w:ilvl w:val="2"/>
          <w:numId w:val="27"/>
        </w:numPr>
        <w:rPr>
          <w:rFonts w:cs="Times New Roman"/>
          <w:i/>
          <w:color w:val="FF0000"/>
          <w:szCs w:val="24"/>
        </w:rPr>
      </w:pPr>
      <w:r w:rsidRPr="00E73DA8">
        <w:rPr>
          <w:rFonts w:cs="Times New Roman"/>
          <w:szCs w:val="24"/>
        </w:rPr>
        <w:t xml:space="preserve">or has implications for future health care needs </w:t>
      </w:r>
      <w:r w:rsidRPr="00E73DA8">
        <w:rPr>
          <w:rFonts w:cs="Times New Roman"/>
          <w:i/>
          <w:color w:val="FF0000"/>
          <w:szCs w:val="24"/>
        </w:rPr>
        <w:t>MET as evidenced by</w:t>
      </w:r>
    </w:p>
    <w:p w14:paraId="69E0B10A" w14:textId="77777777" w:rsidR="00DB1596" w:rsidRDefault="00DB1596" w:rsidP="00DB1596">
      <w:pPr>
        <w:spacing w:after="0" w:line="240" w:lineRule="auto"/>
        <w:rPr>
          <w:rFonts w:ascii="Times New Roman" w:eastAsia="Calibri" w:hAnsi="Times New Roman" w:cs="Times New Roman"/>
          <w:b/>
          <w:sz w:val="24"/>
          <w:szCs w:val="24"/>
          <w:u w:val="single"/>
        </w:rPr>
      </w:pPr>
    </w:p>
    <w:p w14:paraId="6BF4C32B" w14:textId="77777777" w:rsidR="00DB1596" w:rsidRDefault="00DB1596" w:rsidP="00DB1596">
      <w:pPr>
        <w:spacing w:after="0" w:line="240" w:lineRule="auto"/>
        <w:rPr>
          <w:rFonts w:ascii="Times New Roman" w:eastAsia="Calibri" w:hAnsi="Times New Roman" w:cs="Times New Roman"/>
          <w:b/>
          <w:sz w:val="24"/>
          <w:szCs w:val="24"/>
          <w:u w:val="single"/>
        </w:rPr>
      </w:pPr>
      <w:r w:rsidRPr="00857212">
        <w:rPr>
          <w:rFonts w:ascii="Times New Roman" w:eastAsia="Calibri" w:hAnsi="Times New Roman" w:cs="Times New Roman"/>
          <w:b/>
          <w:sz w:val="24"/>
          <w:szCs w:val="24"/>
          <w:u w:val="single"/>
        </w:rPr>
        <w:t>Please note that only ONE of the above criteria needs to be met in order to make the diagnosis reportable (“codeable”).</w:t>
      </w:r>
    </w:p>
    <w:p w14:paraId="3D3F9F19" w14:textId="77777777" w:rsidR="00DB1596" w:rsidRDefault="00DB1596" w:rsidP="00DB1596">
      <w:pPr>
        <w:spacing w:after="0" w:line="240" w:lineRule="auto"/>
        <w:rPr>
          <w:rFonts w:ascii="Times New Roman" w:eastAsia="Calibri" w:hAnsi="Times New Roman" w:cs="Times New Roman"/>
          <w:b/>
          <w:sz w:val="24"/>
          <w:szCs w:val="24"/>
          <w:u w:val="single"/>
        </w:rPr>
      </w:pPr>
    </w:p>
    <w:p w14:paraId="09D56AAA" w14:textId="77777777" w:rsidR="00DB1596" w:rsidRDefault="00DB1596" w:rsidP="00DB1596">
      <w:pPr>
        <w:tabs>
          <w:tab w:val="left" w:pos="295"/>
        </w:tabs>
        <w:spacing w:after="0" w:line="240" w:lineRule="auto"/>
        <w:rPr>
          <w:rFonts w:ascii="Times New Roman" w:eastAsia="Times New Roman" w:hAnsi="Times New Roman"/>
          <w:b/>
          <w:color w:val="000000"/>
          <w:sz w:val="24"/>
          <w:szCs w:val="24"/>
          <w:u w:val="single"/>
          <w:lang w:bidi="he-IL"/>
        </w:rPr>
      </w:pPr>
      <w:r>
        <w:rPr>
          <w:rFonts w:ascii="Times New Roman" w:eastAsia="Times New Roman" w:hAnsi="Times New Roman"/>
          <w:b/>
          <w:color w:val="000000"/>
          <w:sz w:val="24"/>
          <w:szCs w:val="24"/>
          <w:u w:val="single"/>
          <w:lang w:bidi="he-IL"/>
        </w:rPr>
        <w:t>ICD-10-CM Pertinent Codes and Descriptions:</w:t>
      </w:r>
    </w:p>
    <w:p w14:paraId="5B69B5D3" w14:textId="29167ADF" w:rsidR="00DB1596" w:rsidRDefault="00DB1596" w:rsidP="00DB1596">
      <w:pPr>
        <w:spacing w:after="0" w:line="240" w:lineRule="auto"/>
        <w:rPr>
          <w:rFonts w:ascii="Times New Roman" w:hAnsi="Times New Roman"/>
          <w:iCs/>
          <w:sz w:val="24"/>
        </w:rPr>
      </w:pPr>
      <w:r>
        <w:rPr>
          <w:rFonts w:ascii="Times New Roman" w:hAnsi="Times New Roman"/>
          <w:iCs/>
          <w:sz w:val="24"/>
        </w:rPr>
        <w:t>Small-for-</w:t>
      </w:r>
      <w:r w:rsidR="00701E1B">
        <w:rPr>
          <w:rFonts w:ascii="Times New Roman" w:hAnsi="Times New Roman"/>
          <w:iCs/>
          <w:sz w:val="24"/>
        </w:rPr>
        <w:t>gestational age</w:t>
      </w:r>
      <w:r>
        <w:rPr>
          <w:rFonts w:ascii="Times New Roman" w:hAnsi="Times New Roman"/>
          <w:iCs/>
          <w:sz w:val="24"/>
        </w:rPr>
        <w:t xml:space="preserve"> (</w:t>
      </w:r>
      <w:r w:rsidR="00701E1B">
        <w:rPr>
          <w:rFonts w:ascii="Times New Roman" w:hAnsi="Times New Roman"/>
          <w:iCs/>
          <w:sz w:val="24"/>
        </w:rPr>
        <w:t>newborn</w:t>
      </w:r>
      <w:r>
        <w:rPr>
          <w:rFonts w:ascii="Times New Roman" w:hAnsi="Times New Roman"/>
          <w:iCs/>
          <w:sz w:val="24"/>
        </w:rPr>
        <w:t>) P05.1</w:t>
      </w:r>
    </w:p>
    <w:p w14:paraId="62B9E5A4" w14:textId="77777777" w:rsidR="00701E1B" w:rsidRDefault="00DB1596" w:rsidP="00DB1596">
      <w:pPr>
        <w:spacing w:after="0" w:line="240" w:lineRule="auto"/>
        <w:rPr>
          <w:rFonts w:ascii="Times New Roman" w:hAnsi="Times New Roman"/>
          <w:iCs/>
          <w:sz w:val="24"/>
        </w:rPr>
      </w:pPr>
      <w:r>
        <w:rPr>
          <w:rFonts w:ascii="Times New Roman" w:hAnsi="Times New Roman"/>
          <w:iCs/>
          <w:sz w:val="24"/>
        </w:rPr>
        <w:tab/>
      </w:r>
      <w:r w:rsidR="00701E1B">
        <w:rPr>
          <w:rFonts w:ascii="Times New Roman" w:hAnsi="Times New Roman"/>
          <w:iCs/>
          <w:sz w:val="24"/>
        </w:rPr>
        <w:t>Unspecified weight P05.10</w:t>
      </w:r>
    </w:p>
    <w:p w14:paraId="7426D55C" w14:textId="77777777" w:rsidR="00DB1596" w:rsidRDefault="00DB1596" w:rsidP="00DB1596">
      <w:pPr>
        <w:spacing w:after="0" w:line="240" w:lineRule="auto"/>
        <w:rPr>
          <w:rFonts w:ascii="Times New Roman" w:hAnsi="Times New Roman"/>
          <w:iCs/>
          <w:sz w:val="24"/>
        </w:rPr>
      </w:pPr>
      <w:r>
        <w:rPr>
          <w:rFonts w:ascii="Times New Roman" w:hAnsi="Times New Roman"/>
          <w:iCs/>
          <w:sz w:val="24"/>
        </w:rPr>
        <w:tab/>
        <w:t>With weight of</w:t>
      </w:r>
    </w:p>
    <w:p w14:paraId="653C8682" w14:textId="77777777" w:rsidR="00701E1B" w:rsidRDefault="00DB1596" w:rsidP="00DB1596">
      <w:pPr>
        <w:spacing w:after="0" w:line="240" w:lineRule="auto"/>
        <w:rPr>
          <w:rFonts w:ascii="Times New Roman" w:hAnsi="Times New Roman"/>
          <w:iCs/>
          <w:sz w:val="24"/>
        </w:rPr>
      </w:pPr>
      <w:r>
        <w:rPr>
          <w:rFonts w:ascii="Times New Roman" w:hAnsi="Times New Roman"/>
          <w:iCs/>
          <w:sz w:val="24"/>
        </w:rPr>
        <w:tab/>
      </w:r>
      <w:r>
        <w:rPr>
          <w:rFonts w:ascii="Times New Roman" w:hAnsi="Times New Roman"/>
          <w:iCs/>
          <w:sz w:val="24"/>
        </w:rPr>
        <w:tab/>
      </w:r>
      <w:r w:rsidR="00701E1B">
        <w:rPr>
          <w:rFonts w:ascii="Times New Roman" w:hAnsi="Times New Roman"/>
          <w:iCs/>
          <w:sz w:val="24"/>
        </w:rPr>
        <w:t>1750-1999 grams P05.17</w:t>
      </w:r>
    </w:p>
    <w:p w14:paraId="10D4199F" w14:textId="7EF3ACE3" w:rsidR="00DB1596" w:rsidRDefault="00DB1596" w:rsidP="00701E1B">
      <w:pPr>
        <w:spacing w:after="0" w:line="240" w:lineRule="auto"/>
        <w:ind w:left="720" w:firstLine="720"/>
        <w:rPr>
          <w:rFonts w:ascii="Times New Roman" w:hAnsi="Times New Roman"/>
          <w:iCs/>
          <w:sz w:val="24"/>
        </w:rPr>
      </w:pPr>
      <w:r>
        <w:rPr>
          <w:rFonts w:ascii="Times New Roman" w:hAnsi="Times New Roman"/>
          <w:iCs/>
          <w:sz w:val="24"/>
        </w:rPr>
        <w:t>2000-2499 grams P05.18</w:t>
      </w:r>
    </w:p>
    <w:p w14:paraId="18D04AE1" w14:textId="33E796B2" w:rsidR="00DB1596" w:rsidRPr="00701E1B" w:rsidRDefault="00DB1596" w:rsidP="00DB1596">
      <w:pPr>
        <w:spacing w:after="0" w:line="240" w:lineRule="auto"/>
        <w:rPr>
          <w:rFonts w:ascii="Times New Roman" w:eastAsia="Calibri" w:hAnsi="Times New Roman" w:cs="Times New Roman"/>
          <w:sz w:val="24"/>
          <w:szCs w:val="24"/>
          <w:u w:val="single"/>
        </w:rPr>
      </w:pPr>
      <w:r>
        <w:rPr>
          <w:rFonts w:ascii="Times New Roman" w:hAnsi="Times New Roman"/>
          <w:iCs/>
          <w:sz w:val="24"/>
        </w:rPr>
        <w:tab/>
      </w:r>
      <w:r>
        <w:rPr>
          <w:rFonts w:ascii="Times New Roman" w:hAnsi="Times New Roman"/>
          <w:iCs/>
          <w:sz w:val="24"/>
        </w:rPr>
        <w:tab/>
      </w:r>
      <w:r w:rsidRPr="00701E1B">
        <w:rPr>
          <w:rFonts w:ascii="Times New Roman" w:hAnsi="Times New Roman"/>
          <w:iCs/>
          <w:sz w:val="24"/>
        </w:rPr>
        <w:t>2500 grams and over P05.19</w:t>
      </w:r>
    </w:p>
    <w:p w14:paraId="78759482" w14:textId="77777777" w:rsidR="00552964" w:rsidRPr="00552964" w:rsidRDefault="00552964" w:rsidP="00552964">
      <w:pPr>
        <w:spacing w:after="0" w:line="240" w:lineRule="auto"/>
        <w:rPr>
          <w:rFonts w:ascii="Times New Roman" w:eastAsia="Calibri" w:hAnsi="Times New Roman" w:cs="Times New Roman"/>
          <w:sz w:val="24"/>
          <w:u w:val="single"/>
        </w:rPr>
      </w:pPr>
      <w:r w:rsidRPr="00552964">
        <w:rPr>
          <w:rFonts w:ascii="Times New Roman" w:eastAsia="Calibri" w:hAnsi="Times New Roman" w:cs="Times New Roman"/>
          <w:sz w:val="24"/>
          <w:u w:val="single"/>
        </w:rPr>
        <w:t>_____________________________________________________________________________</w:t>
      </w:r>
    </w:p>
    <w:bookmarkEnd w:id="2"/>
    <w:p w14:paraId="51CF38E9" w14:textId="77777777" w:rsidR="00552964" w:rsidRPr="00552964" w:rsidRDefault="00552964" w:rsidP="00552964">
      <w:pPr>
        <w:spacing w:after="0" w:line="240" w:lineRule="auto"/>
        <w:jc w:val="center"/>
        <w:rPr>
          <w:rFonts w:ascii="Times New Roman" w:eastAsia="Calibri" w:hAnsi="Times New Roman" w:cs="Times New Roman"/>
          <w:b/>
          <w:sz w:val="24"/>
          <w:u w:val="single"/>
        </w:rPr>
      </w:pPr>
    </w:p>
    <w:p w14:paraId="15C71BE3" w14:textId="77777777" w:rsidR="00552964" w:rsidRPr="0099404B" w:rsidRDefault="00552964" w:rsidP="00552964">
      <w:pPr>
        <w:spacing w:after="0" w:line="240" w:lineRule="auto"/>
        <w:jc w:val="center"/>
        <w:rPr>
          <w:rFonts w:ascii="Times New Roman" w:eastAsia="Calibri" w:hAnsi="Times New Roman" w:cs="Times New Roman"/>
          <w:b/>
          <w:sz w:val="24"/>
        </w:rPr>
      </w:pPr>
      <w:r w:rsidRPr="0099404B">
        <w:rPr>
          <w:rFonts w:ascii="Times New Roman" w:eastAsia="Calibri" w:hAnsi="Times New Roman" w:cs="Times New Roman"/>
          <w:b/>
          <w:sz w:val="24"/>
        </w:rPr>
        <w:t>Diagnostic and Evidence Based Clinical References</w:t>
      </w:r>
    </w:p>
    <w:p w14:paraId="5E6DAB05" w14:textId="09B4D263" w:rsidR="00C676F4" w:rsidRPr="00552964" w:rsidRDefault="00C676F4" w:rsidP="00C676F4">
      <w:pPr>
        <w:spacing w:after="0" w:line="240" w:lineRule="auto"/>
        <w:jc w:val="center"/>
        <w:rPr>
          <w:rFonts w:ascii="Times New Roman" w:eastAsia="Calibri" w:hAnsi="Times New Roman" w:cs="Times New Roman"/>
          <w:i/>
          <w:color w:val="FF0000"/>
          <w:sz w:val="24"/>
        </w:rPr>
      </w:pPr>
      <w:r w:rsidRPr="00552964">
        <w:rPr>
          <w:rFonts w:ascii="Times New Roman" w:eastAsia="Calibri" w:hAnsi="Times New Roman" w:cs="Times New Roman"/>
          <w:i/>
          <w:color w:val="FF0000"/>
          <w:sz w:val="24"/>
        </w:rPr>
        <w:t>Bold the bullet points that apply and remove the sections from gray bar to gray bar if no bullet points in the section appl</w:t>
      </w:r>
      <w:r w:rsidR="008570D5">
        <w:rPr>
          <w:rFonts w:ascii="Times New Roman" w:eastAsia="Calibri" w:hAnsi="Times New Roman" w:cs="Times New Roman"/>
          <w:i/>
          <w:color w:val="FF0000"/>
          <w:sz w:val="24"/>
        </w:rPr>
        <w:t>y.</w:t>
      </w:r>
    </w:p>
    <w:tbl>
      <w:tblPr>
        <w:tblW w:w="929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7020"/>
      </w:tblGrid>
      <w:tr w:rsidR="0099404B" w:rsidRPr="00552964" w14:paraId="65081630" w14:textId="77777777" w:rsidTr="0099404B">
        <w:trPr>
          <w:trHeight w:val="58"/>
        </w:trPr>
        <w:tc>
          <w:tcPr>
            <w:tcW w:w="2273" w:type="dxa"/>
            <w:shd w:val="clear" w:color="auto" w:fill="D9D9D9"/>
          </w:tcPr>
          <w:p w14:paraId="6182F5C9" w14:textId="77777777" w:rsidR="0099404B" w:rsidRPr="00552964" w:rsidRDefault="0099404B" w:rsidP="007F0814">
            <w:pPr>
              <w:spacing w:after="0" w:line="240" w:lineRule="auto"/>
              <w:rPr>
                <w:rFonts w:ascii="Times New Roman" w:eastAsia="Calibri" w:hAnsi="Times New Roman" w:cs="Times New Roman"/>
                <w:b/>
                <w:sz w:val="12"/>
                <w:szCs w:val="12"/>
              </w:rPr>
            </w:pPr>
            <w:bookmarkStart w:id="5" w:name="_Hlk152765568"/>
          </w:p>
        </w:tc>
        <w:tc>
          <w:tcPr>
            <w:tcW w:w="7020" w:type="dxa"/>
            <w:shd w:val="clear" w:color="auto" w:fill="D9D9D9"/>
          </w:tcPr>
          <w:p w14:paraId="781BFEBA" w14:textId="77777777" w:rsidR="0099404B" w:rsidRPr="00552964" w:rsidRDefault="0099404B" w:rsidP="007F0814">
            <w:pPr>
              <w:tabs>
                <w:tab w:val="left" w:pos="7182"/>
              </w:tabs>
              <w:spacing w:after="0" w:afterAutospacing="1" w:line="240" w:lineRule="auto"/>
              <w:ind w:right="-810"/>
              <w:rPr>
                <w:rFonts w:ascii="Times New Roman" w:eastAsia="Calibri" w:hAnsi="Times New Roman" w:cs="Times New Roman"/>
                <w:sz w:val="12"/>
                <w:szCs w:val="12"/>
              </w:rPr>
            </w:pPr>
          </w:p>
        </w:tc>
      </w:tr>
      <w:bookmarkEnd w:id="5"/>
      <w:tr w:rsidR="00552964" w:rsidRPr="00552964" w14:paraId="3CD1B8FB" w14:textId="77777777" w:rsidTr="0099404B">
        <w:trPr>
          <w:trHeight w:val="58"/>
        </w:trPr>
        <w:tc>
          <w:tcPr>
            <w:tcW w:w="2273" w:type="dxa"/>
          </w:tcPr>
          <w:p w14:paraId="2982271C" w14:textId="77777777" w:rsidR="00552964" w:rsidRPr="008A60DE" w:rsidRDefault="00552964" w:rsidP="00552964">
            <w:pPr>
              <w:spacing w:after="100" w:afterAutospacing="1" w:line="240" w:lineRule="auto"/>
              <w:rPr>
                <w:rFonts w:ascii="Times New Roman" w:eastAsia="Calibri" w:hAnsi="Times New Roman" w:cs="Times New Roman"/>
                <w:b/>
                <w:sz w:val="24"/>
                <w:szCs w:val="24"/>
              </w:rPr>
            </w:pPr>
            <w:r w:rsidRPr="008A60DE">
              <w:rPr>
                <w:rFonts w:ascii="Times New Roman" w:eastAsia="Calibri" w:hAnsi="Times New Roman" w:cs="Times New Roman"/>
                <w:b/>
                <w:sz w:val="24"/>
                <w:szCs w:val="24"/>
              </w:rPr>
              <w:t>Source/Reference</w:t>
            </w:r>
          </w:p>
        </w:tc>
        <w:tc>
          <w:tcPr>
            <w:tcW w:w="7020" w:type="dxa"/>
          </w:tcPr>
          <w:p w14:paraId="53B60BC6" w14:textId="77777777" w:rsidR="00552964" w:rsidRDefault="008A60DE" w:rsidP="00552964">
            <w:pPr>
              <w:spacing w:after="0" w:line="240" w:lineRule="auto"/>
              <w:rPr>
                <w:rFonts w:ascii="Times New Roman" w:eastAsia="Calibri" w:hAnsi="Times New Roman" w:cs="Times New Roman"/>
                <w:b/>
                <w:sz w:val="24"/>
              </w:rPr>
            </w:pPr>
            <w:r w:rsidRPr="008A60DE">
              <w:rPr>
                <w:rFonts w:ascii="Times New Roman" w:eastAsia="Calibri" w:hAnsi="Times New Roman" w:cs="Times New Roman"/>
                <w:b/>
                <w:bCs/>
                <w:sz w:val="24"/>
              </w:rPr>
              <w:t xml:space="preserve">Osuchukwu , O. O., &amp; Reed, D. J. (2022). Small for Gestational Age. In StatPearls. StatPearls Publishing. </w:t>
            </w:r>
            <w:hyperlink r:id="rId7" w:history="1">
              <w:r w:rsidRPr="008879E9">
                <w:rPr>
                  <w:rStyle w:val="Hyperlink"/>
                  <w:rFonts w:ascii="Times New Roman" w:eastAsia="Calibri" w:hAnsi="Times New Roman" w:cs="Times New Roman"/>
                  <w:b/>
                  <w:bCs/>
                  <w:color w:val="auto"/>
                  <w:sz w:val="24"/>
                  <w:u w:val="none"/>
                </w:rPr>
                <w:t>https://pubmed.ncbi.nlm.nih.gov/33085394/</w:t>
              </w:r>
            </w:hyperlink>
            <w:r w:rsidRPr="008879E9">
              <w:rPr>
                <w:rFonts w:ascii="Times New Roman" w:eastAsia="Calibri" w:hAnsi="Times New Roman" w:cs="Times New Roman"/>
                <w:b/>
                <w:bCs/>
                <w:sz w:val="24"/>
              </w:rPr>
              <w:t xml:space="preserve"> </w:t>
            </w:r>
            <w:hyperlink r:id="rId8" w:history="1">
              <w:r w:rsidRPr="008879E9">
                <w:rPr>
                  <w:rStyle w:val="Hyperlink"/>
                  <w:rFonts w:ascii="Times New Roman" w:eastAsia="Calibri" w:hAnsi="Times New Roman" w:cs="Times New Roman"/>
                  <w:b/>
                  <w:bCs/>
                  <w:color w:val="auto"/>
                  <w:sz w:val="24"/>
                  <w:u w:val="none"/>
                </w:rPr>
                <w:t>https://www.ncbi.nlm.nih.gov/books/NBK563247/</w:t>
              </w:r>
            </w:hyperlink>
          </w:p>
          <w:p w14:paraId="01232867" w14:textId="4BE44CC7" w:rsidR="008A60DE" w:rsidRPr="00552964" w:rsidRDefault="008A60DE" w:rsidP="00552964">
            <w:pPr>
              <w:spacing w:after="0" w:line="240" w:lineRule="auto"/>
              <w:rPr>
                <w:rFonts w:ascii="Times New Roman" w:eastAsia="Calibri" w:hAnsi="Times New Roman" w:cs="Times New Roman"/>
                <w:b/>
                <w:sz w:val="24"/>
              </w:rPr>
            </w:pPr>
          </w:p>
        </w:tc>
      </w:tr>
      <w:tr w:rsidR="00552964" w:rsidRPr="00552964" w14:paraId="584A2C68" w14:textId="77777777" w:rsidTr="0099404B">
        <w:trPr>
          <w:trHeight w:val="58"/>
        </w:trPr>
        <w:tc>
          <w:tcPr>
            <w:tcW w:w="2273" w:type="dxa"/>
          </w:tcPr>
          <w:p w14:paraId="54B24C8D" w14:textId="77777777" w:rsidR="00552964" w:rsidRPr="008A60DE" w:rsidRDefault="00552964" w:rsidP="00552964">
            <w:pPr>
              <w:spacing w:after="100" w:afterAutospacing="1" w:line="240" w:lineRule="auto"/>
              <w:rPr>
                <w:rFonts w:ascii="Times New Roman" w:eastAsia="Calibri" w:hAnsi="Times New Roman" w:cs="Times New Roman"/>
                <w:sz w:val="24"/>
                <w:szCs w:val="24"/>
              </w:rPr>
            </w:pPr>
            <w:r w:rsidRPr="008A60DE">
              <w:rPr>
                <w:rFonts w:ascii="Times New Roman" w:eastAsia="Calibri" w:hAnsi="Times New Roman" w:cs="Times New Roman"/>
                <w:b/>
                <w:sz w:val="24"/>
                <w:szCs w:val="24"/>
              </w:rPr>
              <w:t>Evidence Based Guideline/Practice Guideline Recommendation</w:t>
            </w:r>
          </w:p>
        </w:tc>
        <w:tc>
          <w:tcPr>
            <w:tcW w:w="7020" w:type="dxa"/>
          </w:tcPr>
          <w:p w14:paraId="6EF66AB2"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Small for gestational age (SGA) is defined as a birth weight of less than 10th percentile for gestational age.</w:t>
            </w:r>
          </w:p>
          <w:p w14:paraId="7E6819E2"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7AB5F09A"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During antenatal care, symphysis-fundal height measurement using a measuring tape is a simple, affordable, and common ways of detecting FGR SGA or other conditions that can cause size/date discrepancy. Suspicion for FGR SGA is raised when there is a discordance between the measured fundal length and the expected size for gestational age. The measurement is said to be discordant when the fundal height is at least 3 cm less than the gestational age in weeks.</w:t>
            </w:r>
          </w:p>
          <w:p w14:paraId="30DC4DBD"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0E9F2700"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In pregnancy with a high risk for FGR SGA, ultrasound is performed once or twice in the 3rd trimester or when a lag in fundal height is detected. However, in FGR SGA, low-risk pregnancies, ultrasound is only performed in any of the following: a lag in fundal height, inability to palpate fundal height, or fundal height not reliable as in the case of a uterine mass.</w:t>
            </w:r>
          </w:p>
          <w:p w14:paraId="0AA7EE97"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6778C42F"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The majority of the studies recommend magnesium sulfate for neuroprotection before preterm delivery as well, generally &lt; 32-week gestation.</w:t>
            </w:r>
          </w:p>
          <w:p w14:paraId="1F0B3B28"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0CE93F95"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In the SGA population, glucose should be checked every 3 hours until stable with a pre-prandial goal of &gt;25 mg/dL for asymptomatic infants in the first 4 hours of life, &gt;35 mg/dL in hours 4 to 24 of life, and &gt;45 mg/dL after 24 hours.</w:t>
            </w:r>
          </w:p>
          <w:p w14:paraId="6B38E6A2"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3E931A83" w14:textId="77777777" w:rsidR="00552964" w:rsidRDefault="008A60DE" w:rsidP="008A60DE">
            <w:pPr>
              <w:pStyle w:val="NoSpacing"/>
            </w:pPr>
            <w:r w:rsidRPr="008A60DE">
              <w:t>Serum and urine testing for congenital infections such as toxoplasmosis and Cytomegalovirus should be considered. Placental pathology is often helpful for signs of prenatal infection or vasculopathy.  If the infant presents with dysmorphology, genetic testing should be considered as well.</w:t>
            </w:r>
          </w:p>
          <w:p w14:paraId="572F9A95" w14:textId="00F4B4D7" w:rsidR="008A60DE" w:rsidRPr="008A60DE" w:rsidRDefault="008A60DE" w:rsidP="008A60DE">
            <w:pPr>
              <w:pStyle w:val="NoSpacing"/>
              <w:rPr>
                <w:rFonts w:eastAsia="Calibri"/>
                <w:b/>
              </w:rPr>
            </w:pPr>
          </w:p>
        </w:tc>
      </w:tr>
      <w:tr w:rsidR="00552964" w:rsidRPr="00552964" w14:paraId="157D9D1B" w14:textId="77777777" w:rsidTr="0099404B">
        <w:trPr>
          <w:trHeight w:val="58"/>
        </w:trPr>
        <w:tc>
          <w:tcPr>
            <w:tcW w:w="2273" w:type="dxa"/>
            <w:shd w:val="clear" w:color="auto" w:fill="D9D9D9"/>
          </w:tcPr>
          <w:p w14:paraId="3096694C" w14:textId="77777777" w:rsidR="00552964" w:rsidRPr="00601512" w:rsidRDefault="00552964" w:rsidP="00552964">
            <w:pPr>
              <w:spacing w:after="0" w:line="240" w:lineRule="auto"/>
              <w:rPr>
                <w:rFonts w:ascii="Times New Roman" w:eastAsia="Calibri" w:hAnsi="Times New Roman" w:cs="Times New Roman"/>
                <w:b/>
                <w:color w:val="FF0000"/>
                <w:sz w:val="12"/>
                <w:szCs w:val="12"/>
              </w:rPr>
            </w:pPr>
            <w:bookmarkStart w:id="6" w:name="_Hlk152762458"/>
          </w:p>
        </w:tc>
        <w:tc>
          <w:tcPr>
            <w:tcW w:w="7020" w:type="dxa"/>
            <w:shd w:val="clear" w:color="auto" w:fill="D9D9D9"/>
          </w:tcPr>
          <w:p w14:paraId="15526872" w14:textId="77777777" w:rsidR="00552964" w:rsidRPr="00552964" w:rsidRDefault="00552964" w:rsidP="00552964">
            <w:pPr>
              <w:tabs>
                <w:tab w:val="left" w:pos="7182"/>
              </w:tabs>
              <w:spacing w:after="0" w:afterAutospacing="1" w:line="240" w:lineRule="auto"/>
              <w:ind w:right="-810"/>
              <w:rPr>
                <w:rFonts w:ascii="Times New Roman" w:eastAsia="Calibri" w:hAnsi="Times New Roman" w:cs="Times New Roman"/>
                <w:sz w:val="12"/>
                <w:szCs w:val="12"/>
              </w:rPr>
            </w:pPr>
          </w:p>
        </w:tc>
      </w:tr>
      <w:bookmarkEnd w:id="6"/>
      <w:tr w:rsidR="00552964" w:rsidRPr="00552964" w14:paraId="1056411C" w14:textId="77777777" w:rsidTr="0099404B">
        <w:trPr>
          <w:trHeight w:val="58"/>
        </w:trPr>
        <w:tc>
          <w:tcPr>
            <w:tcW w:w="2273" w:type="dxa"/>
          </w:tcPr>
          <w:p w14:paraId="0F00D76C" w14:textId="77777777" w:rsidR="00552964" w:rsidRPr="008A60DE" w:rsidRDefault="00552964" w:rsidP="00552964">
            <w:pPr>
              <w:spacing w:after="100" w:afterAutospacing="1" w:line="240" w:lineRule="auto"/>
              <w:rPr>
                <w:rFonts w:ascii="Times New Roman" w:eastAsia="Calibri" w:hAnsi="Times New Roman" w:cs="Times New Roman"/>
                <w:b/>
                <w:sz w:val="24"/>
                <w:szCs w:val="24"/>
              </w:rPr>
            </w:pPr>
            <w:r w:rsidRPr="008A60DE">
              <w:rPr>
                <w:rFonts w:ascii="Times New Roman" w:eastAsia="Calibri" w:hAnsi="Times New Roman" w:cs="Times New Roman"/>
                <w:b/>
                <w:sz w:val="24"/>
                <w:szCs w:val="24"/>
              </w:rPr>
              <w:t>Source/Reference</w:t>
            </w:r>
          </w:p>
        </w:tc>
        <w:tc>
          <w:tcPr>
            <w:tcW w:w="7020" w:type="dxa"/>
          </w:tcPr>
          <w:p w14:paraId="35E45F94" w14:textId="77777777" w:rsidR="00552964" w:rsidRDefault="008A60DE" w:rsidP="00552964">
            <w:pPr>
              <w:spacing w:after="0" w:line="240" w:lineRule="auto"/>
              <w:rPr>
                <w:rFonts w:ascii="Times New Roman" w:eastAsia="Calibri" w:hAnsi="Times New Roman" w:cs="Times New Roman"/>
                <w:iCs/>
                <w:sz w:val="24"/>
                <w:lang w:val="en"/>
              </w:rPr>
            </w:pPr>
            <w:r w:rsidRPr="008A60DE">
              <w:rPr>
                <w:rFonts w:ascii="Times New Roman" w:eastAsia="Calibri" w:hAnsi="Times New Roman" w:cs="Times New Roman"/>
                <w:b/>
                <w:bCs/>
                <w:iCs/>
                <w:sz w:val="24"/>
              </w:rPr>
              <w:t xml:space="preserve">Sacchi, C., Marino, C., Nosarti, C., Vieno, A., Visentin, S., &amp; Simonelli, A. (2020). Association of Intrauterine Growth Restriction and Small for Gestational Age Status With Childhood Cognitive Outcomes: A Systematic Review and Meta-analysis. JAMA pediatrics, 174(8), 772–781. </w:t>
            </w:r>
            <w:hyperlink r:id="rId9" w:history="1">
              <w:r w:rsidRPr="008879E9">
                <w:rPr>
                  <w:rStyle w:val="Hyperlink"/>
                  <w:rFonts w:ascii="Times New Roman" w:eastAsia="Calibri" w:hAnsi="Times New Roman" w:cs="Times New Roman"/>
                  <w:b/>
                  <w:bCs/>
                  <w:iCs/>
                  <w:color w:val="auto"/>
                  <w:sz w:val="24"/>
                  <w:u w:val="none"/>
                </w:rPr>
                <w:t>https://doi.org/10.1001/jamapediatrics.2020.1097</w:t>
              </w:r>
            </w:hyperlink>
            <w:r w:rsidRPr="008879E9">
              <w:rPr>
                <w:rFonts w:ascii="Times New Roman" w:eastAsia="Calibri" w:hAnsi="Times New Roman" w:cs="Times New Roman"/>
                <w:b/>
                <w:bCs/>
                <w:iCs/>
                <w:sz w:val="24"/>
              </w:rPr>
              <w:t xml:space="preserve"> </w:t>
            </w:r>
            <w:hyperlink r:id="rId10" w:history="1">
              <w:r w:rsidRPr="008879E9">
                <w:rPr>
                  <w:rStyle w:val="Hyperlink"/>
                  <w:rFonts w:ascii="Times New Roman" w:eastAsia="Calibri" w:hAnsi="Times New Roman" w:cs="Times New Roman"/>
                  <w:b/>
                  <w:bCs/>
                  <w:iCs/>
                  <w:color w:val="auto"/>
                  <w:sz w:val="24"/>
                  <w:u w:val="none"/>
                </w:rPr>
                <w:t>https://www.ncbi.nlm.nih.gov/pmc/articles/PMC7251506/</w:t>
              </w:r>
            </w:hyperlink>
          </w:p>
          <w:p w14:paraId="2E551012" w14:textId="30A91214" w:rsidR="008A60DE" w:rsidRPr="008A60DE" w:rsidRDefault="008A60DE" w:rsidP="00552964">
            <w:pPr>
              <w:spacing w:after="0" w:line="240" w:lineRule="auto"/>
              <w:rPr>
                <w:rFonts w:ascii="Times New Roman" w:eastAsia="Calibri" w:hAnsi="Times New Roman" w:cs="Times New Roman"/>
                <w:iCs/>
                <w:sz w:val="24"/>
                <w:lang w:val="en"/>
              </w:rPr>
            </w:pPr>
          </w:p>
        </w:tc>
      </w:tr>
      <w:tr w:rsidR="00552964" w:rsidRPr="00552964" w14:paraId="1F79C7B1" w14:textId="77777777" w:rsidTr="0099404B">
        <w:trPr>
          <w:trHeight w:val="58"/>
        </w:trPr>
        <w:tc>
          <w:tcPr>
            <w:tcW w:w="2273" w:type="dxa"/>
          </w:tcPr>
          <w:p w14:paraId="580C75FC" w14:textId="77777777" w:rsidR="00552964" w:rsidRPr="008A60DE" w:rsidRDefault="00552964" w:rsidP="00552964">
            <w:pPr>
              <w:spacing w:after="100" w:afterAutospacing="1" w:line="240" w:lineRule="auto"/>
              <w:rPr>
                <w:rFonts w:ascii="Times New Roman" w:eastAsia="Calibri" w:hAnsi="Times New Roman" w:cs="Times New Roman"/>
                <w:sz w:val="24"/>
                <w:szCs w:val="24"/>
              </w:rPr>
            </w:pPr>
            <w:r w:rsidRPr="008A60DE">
              <w:rPr>
                <w:rFonts w:ascii="Times New Roman" w:eastAsia="Calibri" w:hAnsi="Times New Roman" w:cs="Times New Roman"/>
                <w:b/>
                <w:sz w:val="24"/>
                <w:szCs w:val="24"/>
              </w:rPr>
              <w:t>Evidence Based Guideline/Practice Guideline Recommendation</w:t>
            </w:r>
          </w:p>
        </w:tc>
        <w:tc>
          <w:tcPr>
            <w:tcW w:w="7020" w:type="dxa"/>
          </w:tcPr>
          <w:p w14:paraId="2F5461BB"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Intrauterine growth restriction (IUGR) is an abnormal fetal growth pattern that occurs in approximately 8% to 10% of pregnancies and is associated with neonatal morbidity and mortality. IUGR refers to an impoverished fetal growth with fetal, maternal, or placental causes (ie, congenital or chromosomal anomalies, infections, and vascular disorders) of a detrimental cascade in which oxygen reduction (up to hypoxemia) and nutritional deficiencies lead to cardiovascular deterioration, extreme blood flow resistance, and decreased fetal growth rate.</w:t>
            </w:r>
          </w:p>
          <w:p w14:paraId="533611FB"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5C5CBC39"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Individuals who had IUGR experience a range of poorer developmental outcomes, encompassing cognitive, socioemotional, and behavioral domains, compared with individuals who were born appropriate for gestational age (AGA).</w:t>
            </w:r>
          </w:p>
          <w:p w14:paraId="6CADC214"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60FB5E44"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An important variable to consider when studying IUGR and SGA development is preterm birth (&lt;37 gestational weeks), which can occur in both conditions. It is still unclear whether the intrauterine environment offers a better long-term outcome for the growth-restricted infant than an early exposure to the extrauterine environment. Consequently, preterm birth interacts with the potential association of antenatal growth restriction with child development and represents a major confounding factor when studying IUGR and SGA outcomes.</w:t>
            </w:r>
          </w:p>
          <w:p w14:paraId="265C5136"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711721D4" w14:textId="3EA45DC8" w:rsidR="00552964" w:rsidRPr="00552964" w:rsidRDefault="008A60DE" w:rsidP="008A60DE">
            <w:pPr>
              <w:spacing w:after="0" w:afterAutospacing="1" w:line="240" w:lineRule="auto"/>
              <w:rPr>
                <w:rFonts w:ascii="Times New Roman" w:eastAsia="Calibri" w:hAnsi="Times New Roman" w:cs="Times New Roman"/>
                <w:sz w:val="24"/>
              </w:rPr>
            </w:pPr>
            <w:r w:rsidRPr="008A60DE">
              <w:rPr>
                <w:rFonts w:ascii="Times New Roman" w:eastAsia="Aptos" w:hAnsi="Times New Roman" w:cs="Times New Roman"/>
                <w:sz w:val="24"/>
                <w:szCs w:val="24"/>
                <w14:ligatures w14:val="standardContextual"/>
              </w:rPr>
              <w:lastRenderedPageBreak/>
              <w:t>Our findings suggest that IUGR and SGA are associated with a small additional risk to that associated with preterm birth alone. Preterm children who had IUGR and were SGA were also 1.57 times more likely than those with AGA to have BII (cognitive score &lt;1 SD) and 2.77 times more likely to have intellectual impairment (cognitive score &lt;2 SDs).</w:t>
            </w:r>
          </w:p>
        </w:tc>
      </w:tr>
      <w:tr w:rsidR="00552964" w:rsidRPr="00552964" w14:paraId="3834A57F" w14:textId="77777777" w:rsidTr="0099404B">
        <w:trPr>
          <w:trHeight w:val="58"/>
        </w:trPr>
        <w:tc>
          <w:tcPr>
            <w:tcW w:w="2273" w:type="dxa"/>
            <w:shd w:val="clear" w:color="auto" w:fill="D9D9D9"/>
          </w:tcPr>
          <w:p w14:paraId="1DEE8694" w14:textId="77777777" w:rsidR="00552964" w:rsidRPr="00601512" w:rsidRDefault="00552964" w:rsidP="00552964">
            <w:pPr>
              <w:spacing w:after="0" w:line="240" w:lineRule="auto"/>
              <w:rPr>
                <w:rFonts w:ascii="Times New Roman" w:eastAsia="Calibri" w:hAnsi="Times New Roman" w:cs="Times New Roman"/>
                <w:b/>
                <w:color w:val="FF0000"/>
                <w:sz w:val="12"/>
                <w:szCs w:val="12"/>
              </w:rPr>
            </w:pPr>
          </w:p>
        </w:tc>
        <w:tc>
          <w:tcPr>
            <w:tcW w:w="7020" w:type="dxa"/>
            <w:shd w:val="clear" w:color="auto" w:fill="D9D9D9"/>
          </w:tcPr>
          <w:p w14:paraId="62AD94DC" w14:textId="77777777" w:rsidR="00552964" w:rsidRPr="00552964" w:rsidRDefault="00552964" w:rsidP="00552964">
            <w:pPr>
              <w:tabs>
                <w:tab w:val="left" w:pos="7182"/>
              </w:tabs>
              <w:spacing w:after="0" w:afterAutospacing="1" w:line="240" w:lineRule="auto"/>
              <w:ind w:right="-810"/>
              <w:rPr>
                <w:rFonts w:ascii="Times New Roman" w:eastAsia="Calibri" w:hAnsi="Times New Roman" w:cs="Times New Roman"/>
                <w:sz w:val="12"/>
                <w:szCs w:val="12"/>
              </w:rPr>
            </w:pPr>
          </w:p>
        </w:tc>
      </w:tr>
      <w:tr w:rsidR="00552964" w:rsidRPr="00552964" w14:paraId="4C874AFD" w14:textId="77777777" w:rsidTr="0099404B">
        <w:trPr>
          <w:trHeight w:val="58"/>
        </w:trPr>
        <w:tc>
          <w:tcPr>
            <w:tcW w:w="2273" w:type="dxa"/>
            <w:shd w:val="clear" w:color="auto" w:fill="auto"/>
          </w:tcPr>
          <w:p w14:paraId="56BDD05A" w14:textId="77777777" w:rsidR="00552964" w:rsidRPr="008A60DE" w:rsidRDefault="00552964" w:rsidP="00552964">
            <w:pPr>
              <w:spacing w:after="100" w:afterAutospacing="1" w:line="240" w:lineRule="auto"/>
              <w:rPr>
                <w:rFonts w:ascii="Times New Roman" w:eastAsia="Calibri" w:hAnsi="Times New Roman" w:cs="Times New Roman"/>
                <w:b/>
                <w:sz w:val="24"/>
                <w:szCs w:val="24"/>
              </w:rPr>
            </w:pPr>
            <w:r w:rsidRPr="008A60DE">
              <w:rPr>
                <w:rFonts w:ascii="Times New Roman" w:eastAsia="Calibri" w:hAnsi="Times New Roman" w:cs="Times New Roman"/>
                <w:b/>
                <w:sz w:val="24"/>
                <w:szCs w:val="24"/>
              </w:rPr>
              <w:t>Source/Reference</w:t>
            </w:r>
          </w:p>
        </w:tc>
        <w:tc>
          <w:tcPr>
            <w:tcW w:w="7020" w:type="dxa"/>
            <w:shd w:val="clear" w:color="auto" w:fill="auto"/>
          </w:tcPr>
          <w:p w14:paraId="042238BC" w14:textId="77777777" w:rsidR="00552964" w:rsidRDefault="008A60DE" w:rsidP="00552964">
            <w:pPr>
              <w:spacing w:after="0" w:line="240" w:lineRule="auto"/>
              <w:rPr>
                <w:rFonts w:ascii="Times New Roman" w:eastAsia="Aptos" w:hAnsi="Times New Roman" w:cs="Times New Roman"/>
                <w:b/>
                <w:bCs/>
                <w:sz w:val="24"/>
                <w:szCs w:val="24"/>
              </w:rPr>
            </w:pPr>
            <w:r w:rsidRPr="008A60DE">
              <w:rPr>
                <w:rFonts w:ascii="Times New Roman" w:eastAsia="Aptos" w:hAnsi="Times New Roman" w:cs="Times New Roman"/>
                <w:b/>
                <w:bCs/>
                <w:sz w:val="24"/>
                <w:szCs w:val="24"/>
              </w:rPr>
              <w:t xml:space="preserve">Jensen, E. A., Foglia, E. E., Dysart, K. C., Simmons, R. A., Aghai, Z. H., Cook, A., Greenspan, J. S., &amp; DeMauro, S. B. (2019). Adverse effects of small for gestational age differ by gestational week among very preterm infants. Archives of disease in childhood. Fetal and neonatal edition, 104(2), F192–F198. </w:t>
            </w:r>
            <w:hyperlink r:id="rId11" w:history="1">
              <w:r w:rsidRPr="008879E9">
                <w:rPr>
                  <w:rFonts w:ascii="Times New Roman" w:eastAsia="Aptos" w:hAnsi="Times New Roman" w:cs="Times New Roman"/>
                  <w:b/>
                  <w:bCs/>
                  <w:sz w:val="24"/>
                  <w:szCs w:val="24"/>
                </w:rPr>
                <w:t>https://doi.org/10.1136/archdischild-2017-314171</w:t>
              </w:r>
            </w:hyperlink>
            <w:r w:rsidRPr="008879E9">
              <w:rPr>
                <w:rFonts w:ascii="Times New Roman" w:eastAsia="Aptos" w:hAnsi="Times New Roman" w:cs="Times New Roman"/>
                <w:b/>
                <w:bCs/>
                <w:sz w:val="24"/>
                <w:szCs w:val="24"/>
              </w:rPr>
              <w:t xml:space="preserve"> </w:t>
            </w:r>
            <w:hyperlink r:id="rId12" w:history="1">
              <w:r w:rsidRPr="008879E9">
                <w:rPr>
                  <w:rFonts w:ascii="Times New Roman" w:eastAsia="Aptos" w:hAnsi="Times New Roman" w:cs="Times New Roman"/>
                  <w:b/>
                  <w:bCs/>
                  <w:sz w:val="24"/>
                  <w:szCs w:val="24"/>
                </w:rPr>
                <w:t>https://www.ncbi.nlm.nih.gov/pmc/articles/PMC6335180/</w:t>
              </w:r>
            </w:hyperlink>
          </w:p>
          <w:p w14:paraId="4AEEF705" w14:textId="2D4D05F3" w:rsidR="008A60DE" w:rsidRPr="008A60DE" w:rsidRDefault="008A60DE" w:rsidP="00552964">
            <w:pPr>
              <w:spacing w:after="0" w:line="240" w:lineRule="auto"/>
              <w:rPr>
                <w:rFonts w:ascii="Times New Roman" w:eastAsia="Calibri" w:hAnsi="Times New Roman" w:cs="Times New Roman"/>
                <w:i/>
                <w:sz w:val="24"/>
                <w:szCs w:val="24"/>
              </w:rPr>
            </w:pPr>
          </w:p>
        </w:tc>
      </w:tr>
      <w:tr w:rsidR="00552964" w:rsidRPr="00552964" w14:paraId="0BF8B8BA" w14:textId="77777777" w:rsidTr="0099404B">
        <w:trPr>
          <w:trHeight w:val="58"/>
        </w:trPr>
        <w:tc>
          <w:tcPr>
            <w:tcW w:w="2273" w:type="dxa"/>
            <w:shd w:val="clear" w:color="auto" w:fill="auto"/>
          </w:tcPr>
          <w:p w14:paraId="7D54B362" w14:textId="77777777" w:rsidR="00552964" w:rsidRPr="008A60DE" w:rsidRDefault="00552964" w:rsidP="00552964">
            <w:pPr>
              <w:spacing w:after="100" w:afterAutospacing="1" w:line="240" w:lineRule="auto"/>
              <w:rPr>
                <w:rFonts w:ascii="Times New Roman" w:eastAsia="Calibri" w:hAnsi="Times New Roman" w:cs="Times New Roman"/>
                <w:sz w:val="24"/>
                <w:szCs w:val="24"/>
              </w:rPr>
            </w:pPr>
            <w:r w:rsidRPr="008A60DE">
              <w:rPr>
                <w:rFonts w:ascii="Times New Roman" w:eastAsia="Calibri" w:hAnsi="Times New Roman" w:cs="Times New Roman"/>
                <w:b/>
                <w:sz w:val="24"/>
                <w:szCs w:val="24"/>
              </w:rPr>
              <w:t>Evidence Based Guideline/Practice Guideline Recommendation</w:t>
            </w:r>
          </w:p>
        </w:tc>
        <w:tc>
          <w:tcPr>
            <w:tcW w:w="7020" w:type="dxa"/>
            <w:shd w:val="clear" w:color="auto" w:fill="auto"/>
          </w:tcPr>
          <w:p w14:paraId="25F7DD06"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 xml:space="preserve">The excess risk for death independently associated with SGA birth was highest at 24 weeks. For bronchopulmonary dysplasia, the excess risk peaked at 27 weeks. </w:t>
            </w:r>
          </w:p>
          <w:p w14:paraId="30E6EE32"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10746AFA" w14:textId="77777777" w:rsidR="008A60DE" w:rsidRDefault="008A60DE" w:rsidP="008A60DE">
            <w:pPr>
              <w:pStyle w:val="NoSpacing"/>
            </w:pPr>
            <w:r w:rsidRPr="008A60DE">
              <w:t>Prior studies postulated that the higher morbidity and mortality rates among SGA compared to non-SGA preterm infants result from an additive “double insult” owing to diminished nutrient delivery to the growing fetus and postnatal sequelae attributed to prematurity.</w:t>
            </w:r>
          </w:p>
          <w:p w14:paraId="3572B0E3" w14:textId="1803DABF" w:rsidR="008A60DE" w:rsidRPr="008A60DE" w:rsidRDefault="008A60DE" w:rsidP="008A60DE">
            <w:pPr>
              <w:pStyle w:val="NoSpacing"/>
            </w:pPr>
          </w:p>
        </w:tc>
      </w:tr>
      <w:tr w:rsidR="00552964" w:rsidRPr="00552964" w14:paraId="6FA5F8B9" w14:textId="77777777" w:rsidTr="0099404B">
        <w:trPr>
          <w:trHeight w:val="58"/>
        </w:trPr>
        <w:tc>
          <w:tcPr>
            <w:tcW w:w="2273" w:type="dxa"/>
            <w:shd w:val="clear" w:color="auto" w:fill="D9D9D9"/>
          </w:tcPr>
          <w:p w14:paraId="5FD37D41" w14:textId="77777777" w:rsidR="00552964" w:rsidRPr="00601512" w:rsidRDefault="00552964" w:rsidP="00552964">
            <w:pPr>
              <w:spacing w:after="0" w:line="240" w:lineRule="auto"/>
              <w:rPr>
                <w:rFonts w:ascii="Times New Roman" w:eastAsia="Calibri" w:hAnsi="Times New Roman" w:cs="Times New Roman"/>
                <w:b/>
                <w:color w:val="FF0000"/>
                <w:sz w:val="12"/>
                <w:szCs w:val="12"/>
              </w:rPr>
            </w:pPr>
          </w:p>
        </w:tc>
        <w:tc>
          <w:tcPr>
            <w:tcW w:w="7020" w:type="dxa"/>
            <w:shd w:val="clear" w:color="auto" w:fill="D9D9D9"/>
          </w:tcPr>
          <w:p w14:paraId="4F78FD9B" w14:textId="77777777" w:rsidR="00552964" w:rsidRPr="00552964" w:rsidRDefault="00552964" w:rsidP="00552964">
            <w:pPr>
              <w:tabs>
                <w:tab w:val="left" w:pos="7182"/>
              </w:tabs>
              <w:spacing w:after="0" w:afterAutospacing="1" w:line="240" w:lineRule="auto"/>
              <w:ind w:right="-810"/>
              <w:rPr>
                <w:rFonts w:ascii="Times New Roman" w:eastAsia="Calibri" w:hAnsi="Times New Roman" w:cs="Times New Roman"/>
                <w:sz w:val="12"/>
                <w:szCs w:val="12"/>
              </w:rPr>
            </w:pPr>
          </w:p>
        </w:tc>
      </w:tr>
      <w:tr w:rsidR="00552964" w:rsidRPr="00552964" w14:paraId="5DEF4140" w14:textId="77777777" w:rsidTr="0099404B">
        <w:trPr>
          <w:trHeight w:val="58"/>
        </w:trPr>
        <w:tc>
          <w:tcPr>
            <w:tcW w:w="2273" w:type="dxa"/>
            <w:shd w:val="clear" w:color="auto" w:fill="auto"/>
          </w:tcPr>
          <w:p w14:paraId="4D43D41B" w14:textId="77777777" w:rsidR="00552964" w:rsidRPr="008A60DE" w:rsidRDefault="00552964" w:rsidP="00552964">
            <w:pPr>
              <w:spacing w:after="100" w:afterAutospacing="1" w:line="240" w:lineRule="auto"/>
              <w:rPr>
                <w:rFonts w:ascii="Times New Roman" w:eastAsia="Calibri" w:hAnsi="Times New Roman" w:cs="Times New Roman"/>
                <w:b/>
                <w:sz w:val="24"/>
                <w:szCs w:val="24"/>
              </w:rPr>
            </w:pPr>
            <w:r w:rsidRPr="008A60DE">
              <w:rPr>
                <w:rFonts w:ascii="Times New Roman" w:eastAsia="Calibri" w:hAnsi="Times New Roman" w:cs="Times New Roman"/>
                <w:b/>
                <w:sz w:val="24"/>
                <w:szCs w:val="24"/>
              </w:rPr>
              <w:t>Source/Reference</w:t>
            </w:r>
          </w:p>
        </w:tc>
        <w:tc>
          <w:tcPr>
            <w:tcW w:w="7020" w:type="dxa"/>
            <w:shd w:val="clear" w:color="auto" w:fill="auto"/>
          </w:tcPr>
          <w:p w14:paraId="1CBF2233" w14:textId="77777777" w:rsidR="00552964" w:rsidRDefault="008A60DE" w:rsidP="00552964">
            <w:pPr>
              <w:spacing w:after="0" w:line="240" w:lineRule="auto"/>
              <w:rPr>
                <w:rFonts w:ascii="Times New Roman" w:eastAsia="Aptos" w:hAnsi="Times New Roman" w:cs="Times New Roman"/>
                <w:b/>
                <w:bCs/>
                <w:sz w:val="24"/>
                <w:szCs w:val="24"/>
              </w:rPr>
            </w:pPr>
            <w:r w:rsidRPr="008A60DE">
              <w:rPr>
                <w:rFonts w:ascii="Times New Roman" w:eastAsia="Aptos" w:hAnsi="Times New Roman" w:cs="Times New Roman"/>
                <w:b/>
                <w:bCs/>
                <w:sz w:val="24"/>
                <w:szCs w:val="24"/>
              </w:rPr>
              <w:t xml:space="preserve">Ewing, A. C., Ellington, S. R., Shapiro-Mendoza, C. K., Barfield, W. D., &amp; Kourtis, A. P. (2017). Full-Term Small-for-Gestational-Age Newborns in the U.S.: Characteristics, Trends, and Morbidity. Maternal and child health journal, 21(4), 786–796. </w:t>
            </w:r>
            <w:hyperlink r:id="rId13" w:history="1">
              <w:r w:rsidRPr="008879E9">
                <w:rPr>
                  <w:rFonts w:ascii="Times New Roman" w:eastAsia="Aptos" w:hAnsi="Times New Roman" w:cs="Times New Roman"/>
                  <w:b/>
                  <w:bCs/>
                  <w:sz w:val="24"/>
                  <w:szCs w:val="24"/>
                </w:rPr>
                <w:t>https://doi.org/10.1007/s10995-016-2165-z</w:t>
              </w:r>
            </w:hyperlink>
            <w:r w:rsidRPr="008879E9">
              <w:rPr>
                <w:rFonts w:ascii="Times New Roman" w:eastAsia="Aptos" w:hAnsi="Times New Roman" w:cs="Times New Roman"/>
                <w:sz w:val="24"/>
                <w:szCs w:val="24"/>
              </w:rPr>
              <w:t xml:space="preserve"> </w:t>
            </w:r>
            <w:hyperlink r:id="rId14" w:history="1">
              <w:r w:rsidRPr="008879E9">
                <w:rPr>
                  <w:rFonts w:ascii="Times New Roman" w:eastAsia="Aptos" w:hAnsi="Times New Roman" w:cs="Times New Roman"/>
                  <w:b/>
                  <w:bCs/>
                  <w:sz w:val="24"/>
                  <w:szCs w:val="24"/>
                </w:rPr>
                <w:t>https://www.ncbi.nlm.nih.gov/pmc/articles/PMC5728417/</w:t>
              </w:r>
            </w:hyperlink>
          </w:p>
          <w:p w14:paraId="3E2CF63C" w14:textId="25754DB0" w:rsidR="008A60DE" w:rsidRPr="008A60DE" w:rsidRDefault="008A60DE" w:rsidP="00552964">
            <w:pPr>
              <w:spacing w:after="0" w:line="240" w:lineRule="auto"/>
              <w:rPr>
                <w:rFonts w:ascii="Times New Roman" w:eastAsia="Calibri" w:hAnsi="Times New Roman" w:cs="Times New Roman"/>
                <w:b/>
                <w:sz w:val="24"/>
                <w:szCs w:val="24"/>
              </w:rPr>
            </w:pPr>
          </w:p>
        </w:tc>
      </w:tr>
      <w:tr w:rsidR="00552964" w:rsidRPr="00552964" w14:paraId="664E2F36" w14:textId="77777777" w:rsidTr="0099404B">
        <w:trPr>
          <w:trHeight w:val="58"/>
        </w:trPr>
        <w:tc>
          <w:tcPr>
            <w:tcW w:w="2273" w:type="dxa"/>
            <w:shd w:val="clear" w:color="auto" w:fill="auto"/>
          </w:tcPr>
          <w:p w14:paraId="3EA70BD7" w14:textId="77777777" w:rsidR="00552964" w:rsidRPr="008A60DE" w:rsidRDefault="00552964" w:rsidP="00552964">
            <w:pPr>
              <w:spacing w:after="100" w:afterAutospacing="1" w:line="240" w:lineRule="auto"/>
              <w:rPr>
                <w:rFonts w:ascii="Times New Roman" w:eastAsia="Calibri" w:hAnsi="Times New Roman" w:cs="Times New Roman"/>
                <w:sz w:val="24"/>
                <w:szCs w:val="24"/>
              </w:rPr>
            </w:pPr>
            <w:r w:rsidRPr="008A60DE">
              <w:rPr>
                <w:rFonts w:ascii="Times New Roman" w:eastAsia="Calibri" w:hAnsi="Times New Roman" w:cs="Times New Roman"/>
                <w:b/>
                <w:sz w:val="24"/>
                <w:szCs w:val="24"/>
              </w:rPr>
              <w:t>Evidence Based Guideline/Practice Guideline Recommendation</w:t>
            </w:r>
          </w:p>
        </w:tc>
        <w:tc>
          <w:tcPr>
            <w:tcW w:w="7020" w:type="dxa"/>
            <w:shd w:val="clear" w:color="auto" w:fill="auto"/>
          </w:tcPr>
          <w:p w14:paraId="7E355476"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 xml:space="preserve">Compared with other term newborns, SGA term newborns were significantly (p &lt; 0.05) more likely to be female, receive public insurance, and reside in lower income zip codes. Comorbidities, including perinatal complications, metabolic disorders, central nervous system diseases, infection, and neonatal abstinence syndrome were more common among SGA-coded term newborns. These newborns also had higher odds of in-hospital death (OR = 3.0 95 % confidence interval: 2.0, 4.4), longer mean length of stay (3.7 vs. 2.3 days, p &lt;0.001), and higher mean hospital charges ($12,621 vs. $5012, p &lt; 0.001). </w:t>
            </w:r>
          </w:p>
          <w:p w14:paraId="5EF63F95"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27F215C4"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 xml:space="preserve">SGA is variously defined using growth curves and/or observed clinical characteristics, including fundal height, various body proportions, soft tissue measurements, and others (Chard et al. 1992; Lubchenco et al. 1966; Campbell and Thoms 1977; Clayton et al. </w:t>
            </w:r>
            <w:r w:rsidRPr="008A60DE">
              <w:rPr>
                <w:rFonts w:ascii="Times New Roman" w:eastAsia="Aptos" w:hAnsi="Times New Roman" w:cs="Times New Roman"/>
                <w:sz w:val="24"/>
                <w:szCs w:val="24"/>
                <w14:ligatures w14:val="standardContextual"/>
              </w:rPr>
              <w:lastRenderedPageBreak/>
              <w:t xml:space="preserve">2007; Belizan et al. 1978; Hadlock et al. 1983; Weiner and Robinson 1989; Gardeil et al. 1999). &lt;10th, &lt;5th and &lt;3rd percentile birthweight for gestational age are commonly used in research addressing this issue, although there are no standards directing physicians or coders to use a specific birthweight percentile cutoff to diagnose newborns as SGA and coded as such in the medical record. </w:t>
            </w:r>
          </w:p>
          <w:p w14:paraId="0D39C37E"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7C0D7097"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 xml:space="preserve">SGA diagnosis was also strongly associated with perinatal complications, congenital anomalies, respiratory distress and other respiratory conditions, congenital/neonatal infections, and intubation and CPAP procedures, and with in-hospital mortality, with adjusted odds ratios (ORs) of 1.9 or larger. </w:t>
            </w:r>
          </w:p>
          <w:p w14:paraId="2AA55D6C"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24FDC8C9"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r w:rsidRPr="008A60DE">
              <w:rPr>
                <w:rFonts w:ascii="Times New Roman" w:eastAsia="Aptos" w:hAnsi="Times New Roman" w:cs="Times New Roman"/>
                <w:sz w:val="24"/>
                <w:szCs w:val="24"/>
                <w14:ligatures w14:val="standardContextual"/>
              </w:rPr>
              <w:t xml:space="preserve">Among SGA-coded term newborns, two comorbidities showed consistent and significant increases over the study period: neonatal abstinence syndrome and congenital anomalies. </w:t>
            </w:r>
          </w:p>
          <w:p w14:paraId="370C849D" w14:textId="77777777" w:rsidR="008A60DE" w:rsidRPr="008A60DE" w:rsidRDefault="008A60DE" w:rsidP="008A60DE">
            <w:pPr>
              <w:spacing w:after="0" w:line="240" w:lineRule="auto"/>
              <w:rPr>
                <w:rFonts w:ascii="Times New Roman" w:eastAsia="Aptos" w:hAnsi="Times New Roman" w:cs="Times New Roman"/>
                <w:sz w:val="24"/>
                <w:szCs w:val="24"/>
                <w14:ligatures w14:val="standardContextual"/>
              </w:rPr>
            </w:pPr>
          </w:p>
          <w:p w14:paraId="297E1DE9" w14:textId="76483A59" w:rsidR="00552964" w:rsidRPr="008A60DE" w:rsidRDefault="008A60DE" w:rsidP="008A60DE">
            <w:pPr>
              <w:spacing w:after="0" w:afterAutospacing="1" w:line="240" w:lineRule="auto"/>
              <w:rPr>
                <w:rFonts w:ascii="Times New Roman" w:eastAsia="Calibri" w:hAnsi="Times New Roman" w:cs="Times New Roman"/>
                <w:sz w:val="24"/>
                <w:szCs w:val="24"/>
              </w:rPr>
            </w:pPr>
            <w:r w:rsidRPr="008A60DE">
              <w:rPr>
                <w:rFonts w:ascii="Times New Roman" w:eastAsia="Aptos" w:hAnsi="Times New Roman" w:cs="Times New Roman"/>
                <w:sz w:val="24"/>
                <w:szCs w:val="24"/>
                <w14:ligatures w14:val="standardContextual"/>
              </w:rPr>
              <w:t>In the most recent year we studied (2011), SGA-coded term newborns had a 200 % higher odds of in-hospital death than non-SGA-coded term newborns.</w:t>
            </w:r>
          </w:p>
        </w:tc>
      </w:tr>
      <w:tr w:rsidR="00552964" w:rsidRPr="00552964" w14:paraId="7B030D1A" w14:textId="77777777" w:rsidTr="0099404B">
        <w:trPr>
          <w:trHeight w:val="58"/>
        </w:trPr>
        <w:tc>
          <w:tcPr>
            <w:tcW w:w="2273" w:type="dxa"/>
            <w:shd w:val="clear" w:color="auto" w:fill="D9D9D9"/>
          </w:tcPr>
          <w:p w14:paraId="607613F7" w14:textId="77777777" w:rsidR="00552964" w:rsidRPr="00552964" w:rsidRDefault="00552964" w:rsidP="00552964">
            <w:pPr>
              <w:spacing w:after="0" w:line="240" w:lineRule="auto"/>
              <w:rPr>
                <w:rFonts w:ascii="Times New Roman" w:eastAsia="Calibri" w:hAnsi="Times New Roman" w:cs="Times New Roman"/>
                <w:b/>
                <w:sz w:val="12"/>
                <w:szCs w:val="12"/>
              </w:rPr>
            </w:pPr>
          </w:p>
        </w:tc>
        <w:tc>
          <w:tcPr>
            <w:tcW w:w="7020" w:type="dxa"/>
            <w:shd w:val="clear" w:color="auto" w:fill="D9D9D9"/>
          </w:tcPr>
          <w:p w14:paraId="2CE8D368" w14:textId="77777777" w:rsidR="00552964" w:rsidRPr="00552964" w:rsidRDefault="00552964" w:rsidP="00552964">
            <w:pPr>
              <w:tabs>
                <w:tab w:val="left" w:pos="7182"/>
              </w:tabs>
              <w:spacing w:after="0" w:afterAutospacing="1" w:line="240" w:lineRule="auto"/>
              <w:ind w:right="-810"/>
              <w:rPr>
                <w:rFonts w:ascii="Times New Roman" w:eastAsia="Calibri" w:hAnsi="Times New Roman" w:cs="Times New Roman"/>
                <w:sz w:val="12"/>
                <w:szCs w:val="12"/>
              </w:rPr>
            </w:pPr>
          </w:p>
        </w:tc>
      </w:tr>
    </w:tbl>
    <w:p w14:paraId="3C5D2F04" w14:textId="77777777" w:rsidR="00552964" w:rsidRPr="00552964" w:rsidRDefault="00552964" w:rsidP="00552964">
      <w:pPr>
        <w:spacing w:after="0" w:line="240" w:lineRule="auto"/>
        <w:rPr>
          <w:rFonts w:ascii="Times New Roman" w:eastAsia="Calibri" w:hAnsi="Times New Roman" w:cs="Times New Roman"/>
          <w:b/>
          <w:sz w:val="24"/>
          <w:u w:val="single"/>
        </w:rPr>
      </w:pPr>
    </w:p>
    <w:p w14:paraId="6AC5D307" w14:textId="77777777" w:rsidR="00DB1596" w:rsidRPr="00404B57" w:rsidRDefault="00DB1596" w:rsidP="00DB1596">
      <w:pPr>
        <w:spacing w:after="0" w:line="240" w:lineRule="auto"/>
        <w:jc w:val="center"/>
        <w:rPr>
          <w:rFonts w:ascii="Times New Roman" w:eastAsia="Calibri" w:hAnsi="Times New Roman" w:cs="Times New Roman"/>
          <w:b/>
          <w:sz w:val="24"/>
        </w:rPr>
      </w:pPr>
      <w:r w:rsidRPr="00404B57">
        <w:rPr>
          <w:rFonts w:ascii="Times New Roman" w:eastAsia="Calibri" w:hAnsi="Times New Roman" w:cs="Times New Roman"/>
          <w:b/>
          <w:sz w:val="24"/>
        </w:rPr>
        <w:t>Selected Coding Clinics</w:t>
      </w:r>
    </w:p>
    <w:p w14:paraId="423DAA28" w14:textId="1B5DF120" w:rsidR="00DB1596" w:rsidRPr="00404B57" w:rsidRDefault="00DB1596" w:rsidP="00DB1596">
      <w:pPr>
        <w:spacing w:after="0" w:line="240" w:lineRule="auto"/>
        <w:jc w:val="center"/>
        <w:rPr>
          <w:rFonts w:ascii="Times New Roman" w:eastAsia="Calibri" w:hAnsi="Times New Roman" w:cs="Times New Roman"/>
          <w:i/>
          <w:color w:val="FF0000"/>
          <w:sz w:val="24"/>
        </w:rPr>
      </w:pPr>
      <w:bookmarkStart w:id="7" w:name="_Hlk153285545"/>
    </w:p>
    <w:bookmarkEnd w:id="7"/>
    <w:tbl>
      <w:tblPr>
        <w:tblW w:w="929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7020"/>
      </w:tblGrid>
      <w:tr w:rsidR="00DB1596" w:rsidRPr="00404B57" w14:paraId="385A4645" w14:textId="77777777" w:rsidTr="00DB1596">
        <w:trPr>
          <w:trHeight w:val="58"/>
        </w:trPr>
        <w:tc>
          <w:tcPr>
            <w:tcW w:w="2273" w:type="dxa"/>
            <w:shd w:val="clear" w:color="auto" w:fill="D9D9D9"/>
          </w:tcPr>
          <w:p w14:paraId="52B588B0" w14:textId="77777777" w:rsidR="00DB1596" w:rsidRPr="00404B57" w:rsidRDefault="00DB1596" w:rsidP="005A376C">
            <w:pPr>
              <w:spacing w:after="0" w:line="240" w:lineRule="auto"/>
              <w:rPr>
                <w:rFonts w:ascii="Times New Roman" w:eastAsia="Calibri" w:hAnsi="Times New Roman" w:cs="Times New Roman"/>
                <w:b/>
                <w:sz w:val="12"/>
                <w:szCs w:val="12"/>
              </w:rPr>
            </w:pPr>
          </w:p>
        </w:tc>
        <w:tc>
          <w:tcPr>
            <w:tcW w:w="7020" w:type="dxa"/>
            <w:shd w:val="clear" w:color="auto" w:fill="D9D9D9"/>
          </w:tcPr>
          <w:p w14:paraId="19499EB5" w14:textId="77777777" w:rsidR="00DB1596" w:rsidRPr="00404B57" w:rsidRDefault="00DB1596" w:rsidP="005A376C">
            <w:pPr>
              <w:tabs>
                <w:tab w:val="left" w:pos="7182"/>
              </w:tabs>
              <w:spacing w:after="0" w:afterAutospacing="1" w:line="240" w:lineRule="auto"/>
              <w:ind w:right="-810"/>
              <w:rPr>
                <w:rFonts w:ascii="Times New Roman" w:eastAsia="Calibri" w:hAnsi="Times New Roman" w:cs="Times New Roman"/>
                <w:sz w:val="12"/>
                <w:szCs w:val="12"/>
              </w:rPr>
            </w:pPr>
          </w:p>
        </w:tc>
      </w:tr>
      <w:tr w:rsidR="00DB1596" w:rsidRPr="00404B57" w14:paraId="4FCF081B" w14:textId="77777777" w:rsidTr="00DB1596">
        <w:trPr>
          <w:trHeight w:val="58"/>
        </w:trPr>
        <w:tc>
          <w:tcPr>
            <w:tcW w:w="2273" w:type="dxa"/>
            <w:shd w:val="clear" w:color="auto" w:fill="auto"/>
          </w:tcPr>
          <w:p w14:paraId="7A468799" w14:textId="77777777" w:rsidR="00DB1596" w:rsidRPr="00404B57" w:rsidRDefault="00DB1596" w:rsidP="005A376C">
            <w:pPr>
              <w:spacing w:after="0" w:line="240" w:lineRule="auto"/>
              <w:rPr>
                <w:rFonts w:ascii="Times New Roman" w:hAnsi="Times New Roman"/>
                <w:b/>
                <w:sz w:val="24"/>
              </w:rPr>
            </w:pPr>
            <w:r w:rsidRPr="00404B57">
              <w:rPr>
                <w:rFonts w:ascii="Times New Roman" w:hAnsi="Times New Roman"/>
                <w:b/>
                <w:sz w:val="24"/>
              </w:rPr>
              <w:t>Source/Reference</w:t>
            </w:r>
          </w:p>
        </w:tc>
        <w:tc>
          <w:tcPr>
            <w:tcW w:w="7020" w:type="dxa"/>
            <w:shd w:val="clear" w:color="auto" w:fill="auto"/>
          </w:tcPr>
          <w:p w14:paraId="7ECD042C" w14:textId="77777777" w:rsidR="00DB1596" w:rsidRPr="00522F63" w:rsidRDefault="00DB1596" w:rsidP="005A376C">
            <w:pPr>
              <w:pStyle w:val="NoSpacing"/>
              <w:rPr>
                <w:rFonts w:cs="Times New Roman"/>
                <w:b/>
                <w:bCs/>
                <w:szCs w:val="24"/>
              </w:rPr>
            </w:pPr>
            <w:r w:rsidRPr="00522F63">
              <w:rPr>
                <w:rFonts w:cs="Times New Roman"/>
                <w:b/>
                <w:bCs/>
                <w:szCs w:val="24"/>
              </w:rPr>
              <w:t xml:space="preserve">Applying Past Issues of AHA Coding Clinic for ICD-9-CM to ICD-10 </w:t>
            </w:r>
          </w:p>
          <w:p w14:paraId="1A25F51D" w14:textId="77777777" w:rsidR="00DB1596" w:rsidRPr="00522F63" w:rsidRDefault="00DB1596" w:rsidP="005A376C">
            <w:pPr>
              <w:pStyle w:val="NoSpacing"/>
              <w:rPr>
                <w:rFonts w:cs="Times New Roman"/>
                <w:b/>
                <w:bCs/>
                <w:szCs w:val="24"/>
              </w:rPr>
            </w:pPr>
            <w:r w:rsidRPr="00522F63">
              <w:rPr>
                <w:rFonts w:cs="Times New Roman"/>
                <w:b/>
                <w:bCs/>
                <w:szCs w:val="24"/>
              </w:rPr>
              <w:t xml:space="preserve">Coding Clinic, Fourth Quarter 2015, Page 20 </w:t>
            </w:r>
          </w:p>
          <w:p w14:paraId="3D390704" w14:textId="77777777" w:rsidR="00DB1596" w:rsidRPr="00522F63" w:rsidRDefault="00DB1596" w:rsidP="005A376C">
            <w:pPr>
              <w:pStyle w:val="NoSpacing"/>
              <w:rPr>
                <w:rFonts w:eastAsia="Calibri" w:cs="Times New Roman"/>
                <w:b/>
                <w:bCs/>
                <w:szCs w:val="24"/>
              </w:rPr>
            </w:pPr>
            <w:r w:rsidRPr="00522F63">
              <w:rPr>
                <w:rFonts w:cs="Times New Roman"/>
                <w:b/>
                <w:bCs/>
                <w:szCs w:val="24"/>
              </w:rPr>
              <w:t>Coding advice or code assignments contained in this issue effective with discharges November 13, 2015</w:t>
            </w:r>
          </w:p>
        </w:tc>
      </w:tr>
      <w:tr w:rsidR="00DB1596" w:rsidRPr="00404B57" w14:paraId="6BD04C57" w14:textId="77777777" w:rsidTr="00DB1596">
        <w:trPr>
          <w:trHeight w:val="58"/>
        </w:trPr>
        <w:tc>
          <w:tcPr>
            <w:tcW w:w="2273" w:type="dxa"/>
            <w:shd w:val="clear" w:color="auto" w:fill="auto"/>
          </w:tcPr>
          <w:p w14:paraId="5476E3FA" w14:textId="77777777" w:rsidR="00DB1596" w:rsidRPr="00404B57" w:rsidRDefault="00DB1596" w:rsidP="005A376C">
            <w:pPr>
              <w:spacing w:after="0" w:line="240" w:lineRule="auto"/>
              <w:rPr>
                <w:rFonts w:ascii="Times New Roman" w:hAnsi="Times New Roman"/>
                <w:b/>
                <w:sz w:val="24"/>
              </w:rPr>
            </w:pPr>
            <w:r w:rsidRPr="00404B57">
              <w:rPr>
                <w:rFonts w:ascii="Times New Roman" w:hAnsi="Times New Roman"/>
                <w:b/>
                <w:sz w:val="24"/>
              </w:rPr>
              <w:t>Practice Guideline Recommendation</w:t>
            </w:r>
          </w:p>
        </w:tc>
        <w:tc>
          <w:tcPr>
            <w:tcW w:w="7020" w:type="dxa"/>
            <w:shd w:val="clear" w:color="auto" w:fill="auto"/>
          </w:tcPr>
          <w:p w14:paraId="7014C46F" w14:textId="77777777" w:rsidR="00DB1596" w:rsidRPr="00DB1596" w:rsidRDefault="00DB1596" w:rsidP="00DB1596">
            <w:pPr>
              <w:numPr>
                <w:ilvl w:val="0"/>
                <w:numId w:val="24"/>
              </w:numPr>
              <w:spacing w:after="0" w:line="240" w:lineRule="auto"/>
              <w:rPr>
                <w:rFonts w:ascii="Times New Roman" w:hAnsi="Times New Roman"/>
                <w:b/>
                <w:bCs/>
                <w:sz w:val="24"/>
              </w:rPr>
            </w:pPr>
            <w:r w:rsidRPr="00404B57">
              <w:rPr>
                <w:rFonts w:ascii="Times New Roman" w:hAnsi="Times New Roman"/>
                <w:sz w:val="24"/>
              </w:rPr>
              <w:t xml:space="preserve">In general, clinical information and information on documentation best practices published in Coding Clinic were not unique to ICD-9-CM and remain applicable for ICD-10-CM with some caveats. For example, </w:t>
            </w:r>
            <w:r w:rsidRPr="00404B57">
              <w:rPr>
                <w:rFonts w:ascii="Times New Roman" w:hAnsi="Times New Roman"/>
                <w:i/>
                <w:iCs/>
                <w:sz w:val="24"/>
              </w:rPr>
              <w:t>Coding Clinic</w:t>
            </w:r>
            <w:r w:rsidRPr="00404B57">
              <w:rPr>
                <w:rFonts w:ascii="Times New Roman" w:hAnsi="Times New Roman"/>
                <w:sz w:val="24"/>
              </w:rPr>
              <w:t xml:space="preserve"> may still be useful to understand clinical clues when applying the guideline regarding not coding separately signs or symptoms that are integral to a condition. </w:t>
            </w:r>
            <w:r w:rsidRPr="00DB1596">
              <w:rPr>
                <w:rFonts w:ascii="Times New Roman" w:hAnsi="Times New Roman"/>
                <w:b/>
                <w:bCs/>
                <w:sz w:val="24"/>
              </w:rPr>
              <w:t xml:space="preserve">Users may continue to use that information as clues—not clinical criteria.  </w:t>
            </w:r>
          </w:p>
          <w:p w14:paraId="67C0D5A0" w14:textId="77777777" w:rsidR="00DB1596" w:rsidRPr="00404B57" w:rsidRDefault="00DB1596" w:rsidP="005A376C">
            <w:pPr>
              <w:numPr>
                <w:ilvl w:val="0"/>
                <w:numId w:val="19"/>
              </w:numPr>
              <w:spacing w:after="0" w:line="240" w:lineRule="auto"/>
              <w:rPr>
                <w:rFonts w:ascii="Times New Roman" w:hAnsi="Times New Roman" w:cs="Times New Roman"/>
                <w:sz w:val="24"/>
              </w:rPr>
            </w:pPr>
            <w:r w:rsidRPr="00404B57">
              <w:rPr>
                <w:rFonts w:ascii="Times New Roman" w:hAnsi="Times New Roman"/>
                <w:sz w:val="24"/>
              </w:rPr>
              <w:t xml:space="preserve">As far as previously published advice on documentation is concerned, documentation issues would generally not be unique to ICD-9-CM, and so long as there is nothing new published in </w:t>
            </w:r>
            <w:r w:rsidRPr="00404B57">
              <w:rPr>
                <w:rFonts w:ascii="Times New Roman" w:hAnsi="Times New Roman"/>
                <w:i/>
                <w:iCs/>
                <w:sz w:val="24"/>
              </w:rPr>
              <w:t>Coding Clinic for ICD-10-CM and ICD-10-PCS</w:t>
            </w:r>
            <w:r w:rsidRPr="00404B57">
              <w:rPr>
                <w:rFonts w:ascii="Times New Roman" w:hAnsi="Times New Roman"/>
                <w:sz w:val="24"/>
              </w:rPr>
              <w:t xml:space="preserve"> to replace it, the advice would stand.</w:t>
            </w:r>
          </w:p>
        </w:tc>
      </w:tr>
      <w:tr w:rsidR="00DB1596" w:rsidRPr="00404B57" w14:paraId="5B3BBB6D" w14:textId="77777777" w:rsidTr="00DB1596">
        <w:trPr>
          <w:trHeight w:val="58"/>
        </w:trPr>
        <w:tc>
          <w:tcPr>
            <w:tcW w:w="2273" w:type="dxa"/>
            <w:shd w:val="clear" w:color="auto" w:fill="D9D9D9"/>
          </w:tcPr>
          <w:p w14:paraId="310D910E" w14:textId="77777777" w:rsidR="00DB1596" w:rsidRPr="00404B57" w:rsidRDefault="00DB1596" w:rsidP="005A376C">
            <w:pPr>
              <w:spacing w:after="0" w:line="240" w:lineRule="auto"/>
              <w:rPr>
                <w:rFonts w:ascii="Times New Roman" w:eastAsia="Calibri" w:hAnsi="Times New Roman" w:cs="Times New Roman"/>
                <w:b/>
                <w:sz w:val="12"/>
                <w:szCs w:val="12"/>
              </w:rPr>
            </w:pPr>
          </w:p>
        </w:tc>
        <w:tc>
          <w:tcPr>
            <w:tcW w:w="7020" w:type="dxa"/>
            <w:shd w:val="clear" w:color="auto" w:fill="D9D9D9"/>
          </w:tcPr>
          <w:p w14:paraId="70828BD7" w14:textId="77777777" w:rsidR="00DB1596" w:rsidRPr="00404B57" w:rsidRDefault="00DB1596" w:rsidP="005A376C">
            <w:pPr>
              <w:tabs>
                <w:tab w:val="left" w:pos="7182"/>
              </w:tabs>
              <w:spacing w:after="0" w:afterAutospacing="1" w:line="240" w:lineRule="auto"/>
              <w:ind w:right="-810"/>
              <w:rPr>
                <w:rFonts w:ascii="Times New Roman" w:eastAsia="Calibri" w:hAnsi="Times New Roman" w:cs="Times New Roman"/>
                <w:sz w:val="12"/>
                <w:szCs w:val="12"/>
              </w:rPr>
            </w:pPr>
          </w:p>
        </w:tc>
      </w:tr>
      <w:tr w:rsidR="00DB1596" w:rsidRPr="00404B57" w14:paraId="702EBBBB" w14:textId="77777777" w:rsidTr="00DB1596">
        <w:trPr>
          <w:trHeight w:val="58"/>
        </w:trPr>
        <w:tc>
          <w:tcPr>
            <w:tcW w:w="2273" w:type="dxa"/>
          </w:tcPr>
          <w:p w14:paraId="1D923C69" w14:textId="77777777" w:rsidR="00DB1596" w:rsidRPr="00404B57" w:rsidRDefault="00DB1596" w:rsidP="005A376C">
            <w:pPr>
              <w:spacing w:after="0" w:line="240" w:lineRule="auto"/>
              <w:rPr>
                <w:rFonts w:ascii="Times New Roman" w:hAnsi="Times New Roman"/>
                <w:b/>
                <w:sz w:val="24"/>
              </w:rPr>
            </w:pPr>
            <w:r w:rsidRPr="00404B57">
              <w:rPr>
                <w:rFonts w:ascii="Times New Roman" w:hAnsi="Times New Roman"/>
                <w:b/>
                <w:sz w:val="24"/>
              </w:rPr>
              <w:t>Source/Reference</w:t>
            </w:r>
          </w:p>
        </w:tc>
        <w:tc>
          <w:tcPr>
            <w:tcW w:w="7020" w:type="dxa"/>
          </w:tcPr>
          <w:p w14:paraId="0E244CA2" w14:textId="77777777" w:rsidR="00DB1596" w:rsidRPr="00522F63" w:rsidRDefault="00DB1596" w:rsidP="005A376C">
            <w:pPr>
              <w:spacing w:after="0" w:line="240" w:lineRule="auto"/>
              <w:rPr>
                <w:rFonts w:ascii="Times New Roman" w:hAnsi="Times New Roman" w:cs="Times New Roman"/>
                <w:b/>
                <w:sz w:val="24"/>
              </w:rPr>
            </w:pPr>
            <w:r w:rsidRPr="00522F63">
              <w:rPr>
                <w:rFonts w:ascii="Times New Roman" w:hAnsi="Times New Roman" w:cs="Times New Roman"/>
                <w:b/>
                <w:sz w:val="24"/>
              </w:rPr>
              <w:t>Use of Coding Clinic as Clinical Criteria for Code Assignment</w:t>
            </w:r>
          </w:p>
          <w:p w14:paraId="219C9714" w14:textId="77777777" w:rsidR="00DB1596" w:rsidRPr="00522F63" w:rsidRDefault="00DB1596" w:rsidP="005A376C">
            <w:pPr>
              <w:spacing w:after="0" w:line="240" w:lineRule="auto"/>
              <w:rPr>
                <w:rFonts w:ascii="Times New Roman" w:hAnsi="Times New Roman" w:cs="Times New Roman"/>
                <w:b/>
                <w:sz w:val="24"/>
              </w:rPr>
            </w:pPr>
            <w:r w:rsidRPr="00522F63">
              <w:rPr>
                <w:rFonts w:ascii="Times New Roman" w:hAnsi="Times New Roman" w:cs="Times New Roman"/>
                <w:b/>
                <w:sz w:val="24"/>
              </w:rPr>
              <w:t>Coding Clinic, Third Quarter 2008, Page 16</w:t>
            </w:r>
          </w:p>
          <w:p w14:paraId="0F5CA4E6" w14:textId="77777777" w:rsidR="00DB1596" w:rsidRPr="00522F63" w:rsidRDefault="00DB1596" w:rsidP="005A376C">
            <w:pPr>
              <w:spacing w:after="0" w:line="240" w:lineRule="auto"/>
              <w:rPr>
                <w:rFonts w:ascii="Times New Roman" w:hAnsi="Times New Roman" w:cs="Times New Roman"/>
                <w:b/>
                <w:bCs/>
                <w:sz w:val="24"/>
              </w:rPr>
            </w:pPr>
            <w:r w:rsidRPr="00522F63">
              <w:rPr>
                <w:rFonts w:ascii="Times New Roman" w:hAnsi="Times New Roman" w:cs="Times New Roman"/>
                <w:b/>
                <w:sz w:val="24"/>
              </w:rPr>
              <w:t>Effective with Discharges: September 19, 2008</w:t>
            </w:r>
          </w:p>
        </w:tc>
      </w:tr>
      <w:tr w:rsidR="00DB1596" w:rsidRPr="00404B57" w14:paraId="70D41E42" w14:textId="77777777" w:rsidTr="00DB1596">
        <w:trPr>
          <w:trHeight w:val="58"/>
        </w:trPr>
        <w:tc>
          <w:tcPr>
            <w:tcW w:w="2273" w:type="dxa"/>
          </w:tcPr>
          <w:p w14:paraId="4BE4ED45" w14:textId="77777777" w:rsidR="00DB1596" w:rsidRPr="00404B57" w:rsidRDefault="00DB1596" w:rsidP="005A376C">
            <w:pPr>
              <w:spacing w:after="0" w:line="240" w:lineRule="auto"/>
              <w:rPr>
                <w:rFonts w:ascii="Times New Roman" w:hAnsi="Times New Roman"/>
                <w:b/>
                <w:sz w:val="24"/>
              </w:rPr>
            </w:pPr>
            <w:r w:rsidRPr="00404B57">
              <w:rPr>
                <w:rFonts w:ascii="Times New Roman" w:hAnsi="Times New Roman"/>
                <w:b/>
                <w:sz w:val="24"/>
              </w:rPr>
              <w:lastRenderedPageBreak/>
              <w:t>Practice Guideline Recommendation</w:t>
            </w:r>
          </w:p>
        </w:tc>
        <w:tc>
          <w:tcPr>
            <w:tcW w:w="7020" w:type="dxa"/>
          </w:tcPr>
          <w:p w14:paraId="286F3F1E" w14:textId="77777777" w:rsidR="00DB1596" w:rsidRPr="00404B57" w:rsidRDefault="00DB1596" w:rsidP="005A376C">
            <w:pPr>
              <w:spacing w:after="0" w:line="240" w:lineRule="auto"/>
              <w:rPr>
                <w:rFonts w:ascii="Times New Roman" w:hAnsi="Times New Roman"/>
                <w:b/>
                <w:sz w:val="24"/>
              </w:rPr>
            </w:pPr>
            <w:r w:rsidRPr="00404B57">
              <w:rPr>
                <w:rFonts w:ascii="Times New Roman" w:hAnsi="Times New Roman"/>
                <w:b/>
                <w:sz w:val="24"/>
              </w:rPr>
              <w:t>Question:</w:t>
            </w:r>
          </w:p>
          <w:p w14:paraId="4ED52D93" w14:textId="77777777" w:rsidR="00DB1596" w:rsidRPr="00404B57" w:rsidRDefault="00DB1596" w:rsidP="005A376C">
            <w:pPr>
              <w:numPr>
                <w:ilvl w:val="0"/>
                <w:numId w:val="4"/>
              </w:numPr>
              <w:spacing w:after="0" w:line="240" w:lineRule="auto"/>
              <w:rPr>
                <w:rFonts w:ascii="Times New Roman" w:hAnsi="Times New Roman"/>
                <w:sz w:val="24"/>
              </w:rPr>
            </w:pPr>
            <w:r w:rsidRPr="00404B57">
              <w:rPr>
                <w:rFonts w:ascii="Times New Roman" w:hAnsi="Times New Roman"/>
                <w:sz w:val="24"/>
              </w:rPr>
              <w:t>Can background clinical information published in Coding Clinic be used as clinical criteria for code assignment?</w:t>
            </w:r>
          </w:p>
          <w:p w14:paraId="63424BC6" w14:textId="77777777" w:rsidR="00DB1596" w:rsidRPr="00404B57" w:rsidRDefault="00DB1596" w:rsidP="005A376C">
            <w:pPr>
              <w:spacing w:after="0" w:line="240" w:lineRule="auto"/>
              <w:rPr>
                <w:rFonts w:ascii="Times New Roman" w:hAnsi="Times New Roman"/>
                <w:b/>
                <w:sz w:val="24"/>
              </w:rPr>
            </w:pPr>
            <w:r w:rsidRPr="00404B57">
              <w:rPr>
                <w:rFonts w:ascii="Times New Roman" w:hAnsi="Times New Roman"/>
                <w:b/>
                <w:sz w:val="24"/>
              </w:rPr>
              <w:t>Answer:</w:t>
            </w:r>
          </w:p>
          <w:p w14:paraId="0161CFF0" w14:textId="77777777" w:rsidR="00DB1596" w:rsidRPr="00404B57" w:rsidRDefault="00DB1596" w:rsidP="005A376C">
            <w:pPr>
              <w:numPr>
                <w:ilvl w:val="0"/>
                <w:numId w:val="4"/>
              </w:numPr>
              <w:spacing w:after="0" w:line="240" w:lineRule="auto"/>
              <w:rPr>
                <w:rFonts w:ascii="Times New Roman" w:hAnsi="Times New Roman"/>
                <w:sz w:val="24"/>
              </w:rPr>
            </w:pPr>
            <w:r w:rsidRPr="00DB1596">
              <w:rPr>
                <w:rFonts w:ascii="Times New Roman" w:hAnsi="Times New Roman"/>
                <w:b/>
                <w:bCs/>
                <w:sz w:val="24"/>
              </w:rPr>
              <w:t xml:space="preserve">No, background material published in </w:t>
            </w:r>
            <w:r w:rsidRPr="00DB1596">
              <w:rPr>
                <w:rFonts w:ascii="Times New Roman" w:hAnsi="Times New Roman"/>
                <w:b/>
                <w:bCs/>
                <w:i/>
                <w:iCs/>
                <w:sz w:val="24"/>
              </w:rPr>
              <w:t>Coding Clinic</w:t>
            </w:r>
            <w:r w:rsidRPr="00DB1596">
              <w:rPr>
                <w:rFonts w:ascii="Times New Roman" w:hAnsi="Times New Roman"/>
                <w:b/>
                <w:bCs/>
                <w:sz w:val="24"/>
              </w:rPr>
              <w:t xml:space="preserve"> cannot be used as clinical criteria for code assignment.</w:t>
            </w:r>
            <w:r w:rsidRPr="00404B57">
              <w:rPr>
                <w:rFonts w:ascii="Times New Roman" w:hAnsi="Times New Roman"/>
                <w:sz w:val="24"/>
              </w:rPr>
              <w:t xml:space="preserve">  As stated in </w:t>
            </w:r>
            <w:r w:rsidRPr="00404B57">
              <w:rPr>
                <w:rFonts w:ascii="Times New Roman" w:hAnsi="Times New Roman"/>
                <w:i/>
                <w:iCs/>
                <w:sz w:val="24"/>
              </w:rPr>
              <w:t>Coding Clinic,</w:t>
            </w:r>
            <w:r w:rsidRPr="00404B57">
              <w:rPr>
                <w:rFonts w:ascii="Times New Roman" w:hAnsi="Times New Roman"/>
                <w:sz w:val="24"/>
              </w:rPr>
              <w:t xml:space="preserve"> Second Quarter 1998, pages 4-5:</w:t>
            </w:r>
          </w:p>
          <w:p w14:paraId="2072D7F9" w14:textId="77777777" w:rsidR="00DB1596" w:rsidRPr="00404B57" w:rsidRDefault="00DB1596" w:rsidP="005A376C">
            <w:pPr>
              <w:spacing w:after="0" w:line="240" w:lineRule="auto"/>
              <w:ind w:left="720"/>
              <w:rPr>
                <w:rFonts w:ascii="Times New Roman" w:hAnsi="Times New Roman" w:cs="Times New Roman"/>
                <w:sz w:val="24"/>
                <w:szCs w:val="24"/>
              </w:rPr>
            </w:pPr>
            <w:r w:rsidRPr="00404B57">
              <w:rPr>
                <w:rFonts w:ascii="Times New Roman" w:hAnsi="Times New Roman"/>
                <w:sz w:val="24"/>
              </w:rPr>
              <w:t xml:space="preserve">“Any clinical information published in </w:t>
            </w:r>
            <w:r w:rsidRPr="00404B57">
              <w:rPr>
                <w:rFonts w:ascii="Times New Roman" w:hAnsi="Times New Roman"/>
                <w:i/>
                <w:iCs/>
                <w:sz w:val="24"/>
              </w:rPr>
              <w:t>Coding Clinic</w:t>
            </w:r>
            <w:r w:rsidRPr="00404B57">
              <w:rPr>
                <w:rFonts w:ascii="Times New Roman" w:hAnsi="Times New Roman"/>
                <w:sz w:val="24"/>
              </w:rPr>
              <w:t>, is provided as background material to aid the coder’s understanding of disease processes.  The information is intended to provide the coder with ‘clues’ to identify possible gaps in documentation where additional physician query may be necessary</w:t>
            </w:r>
            <w:r w:rsidRPr="00DB1596">
              <w:rPr>
                <w:rFonts w:ascii="Times New Roman" w:hAnsi="Times New Roman"/>
                <w:b/>
                <w:bCs/>
                <w:sz w:val="24"/>
              </w:rPr>
              <w:t>.  It is not intended to replace the need for specific physician documentation to substantiate code assignment.”</w:t>
            </w:r>
          </w:p>
        </w:tc>
      </w:tr>
      <w:tr w:rsidR="00DB1596" w:rsidRPr="00404B57" w14:paraId="77078A77" w14:textId="77777777" w:rsidTr="00DB1596">
        <w:trPr>
          <w:trHeight w:val="58"/>
        </w:trPr>
        <w:tc>
          <w:tcPr>
            <w:tcW w:w="2273" w:type="dxa"/>
            <w:shd w:val="clear" w:color="auto" w:fill="D9D9D9"/>
          </w:tcPr>
          <w:p w14:paraId="1499B52A" w14:textId="77777777" w:rsidR="00DB1596" w:rsidRPr="00404B57" w:rsidRDefault="00DB1596" w:rsidP="005A376C">
            <w:pPr>
              <w:spacing w:after="0" w:line="240" w:lineRule="auto"/>
              <w:rPr>
                <w:rFonts w:ascii="Times New Roman" w:eastAsia="Calibri" w:hAnsi="Times New Roman" w:cs="Times New Roman"/>
                <w:b/>
                <w:sz w:val="12"/>
                <w:szCs w:val="12"/>
              </w:rPr>
            </w:pPr>
          </w:p>
        </w:tc>
        <w:tc>
          <w:tcPr>
            <w:tcW w:w="7020" w:type="dxa"/>
            <w:shd w:val="clear" w:color="auto" w:fill="D9D9D9"/>
          </w:tcPr>
          <w:p w14:paraId="67C7CCC5" w14:textId="77777777" w:rsidR="00DB1596" w:rsidRPr="00404B57" w:rsidRDefault="00DB1596" w:rsidP="005A376C">
            <w:pPr>
              <w:tabs>
                <w:tab w:val="left" w:pos="7182"/>
              </w:tabs>
              <w:spacing w:after="0" w:afterAutospacing="1" w:line="240" w:lineRule="auto"/>
              <w:ind w:right="-810"/>
              <w:rPr>
                <w:rFonts w:ascii="Times New Roman" w:eastAsia="Calibri" w:hAnsi="Times New Roman" w:cs="Times New Roman"/>
                <w:sz w:val="12"/>
                <w:szCs w:val="12"/>
              </w:rPr>
            </w:pPr>
          </w:p>
        </w:tc>
      </w:tr>
      <w:tr w:rsidR="00DB1596" w:rsidRPr="00404B57" w14:paraId="2076E214" w14:textId="77777777" w:rsidTr="00DB1596">
        <w:trPr>
          <w:trHeight w:val="58"/>
        </w:trPr>
        <w:tc>
          <w:tcPr>
            <w:tcW w:w="2273" w:type="dxa"/>
            <w:shd w:val="clear" w:color="auto" w:fill="auto"/>
          </w:tcPr>
          <w:p w14:paraId="7757DC75" w14:textId="77777777" w:rsidR="00DB1596" w:rsidRPr="00404B57" w:rsidRDefault="00DB1596" w:rsidP="005A376C">
            <w:pPr>
              <w:spacing w:after="0" w:line="240" w:lineRule="auto"/>
              <w:rPr>
                <w:rFonts w:ascii="Times New Roman" w:hAnsi="Times New Roman"/>
                <w:b/>
                <w:sz w:val="24"/>
              </w:rPr>
            </w:pPr>
            <w:r w:rsidRPr="00404B57">
              <w:rPr>
                <w:rFonts w:ascii="Times New Roman" w:hAnsi="Times New Roman"/>
                <w:b/>
                <w:sz w:val="24"/>
              </w:rPr>
              <w:t>Source/Reference</w:t>
            </w:r>
          </w:p>
        </w:tc>
        <w:tc>
          <w:tcPr>
            <w:tcW w:w="7020" w:type="dxa"/>
            <w:shd w:val="clear" w:color="auto" w:fill="auto"/>
          </w:tcPr>
          <w:p w14:paraId="00B15DA2" w14:textId="77777777" w:rsidR="00DB1596" w:rsidRPr="00522F63" w:rsidRDefault="00DB1596" w:rsidP="005A376C">
            <w:pPr>
              <w:pStyle w:val="NoSpacing"/>
              <w:rPr>
                <w:rFonts w:cs="Times New Roman"/>
                <w:b/>
                <w:bCs/>
                <w:szCs w:val="24"/>
              </w:rPr>
            </w:pPr>
            <w:r w:rsidRPr="00522F63">
              <w:rPr>
                <w:rFonts w:cs="Times New Roman"/>
                <w:b/>
                <w:bCs/>
                <w:szCs w:val="24"/>
              </w:rPr>
              <w:t xml:space="preserve">Documentation Guidelines </w:t>
            </w:r>
          </w:p>
          <w:p w14:paraId="2F61BD56" w14:textId="77777777" w:rsidR="00DB1596" w:rsidRPr="00522F63" w:rsidRDefault="00DB1596" w:rsidP="005A376C">
            <w:pPr>
              <w:pStyle w:val="NoSpacing"/>
              <w:rPr>
                <w:rFonts w:cs="Times New Roman"/>
                <w:b/>
                <w:bCs/>
                <w:szCs w:val="24"/>
              </w:rPr>
            </w:pPr>
            <w:r w:rsidRPr="00522F63">
              <w:rPr>
                <w:rFonts w:cs="Times New Roman"/>
                <w:b/>
                <w:bCs/>
                <w:szCs w:val="24"/>
              </w:rPr>
              <w:t xml:space="preserve">Coding Clinic, Second Quarter 2000, Page 17 to 18 </w:t>
            </w:r>
          </w:p>
          <w:p w14:paraId="53A94989" w14:textId="77777777" w:rsidR="00DB1596" w:rsidRPr="00522F63" w:rsidRDefault="00DB1596" w:rsidP="005A376C">
            <w:pPr>
              <w:pStyle w:val="NoSpacing"/>
              <w:rPr>
                <w:rFonts w:cs="Times New Roman"/>
                <w:b/>
                <w:bCs/>
                <w:szCs w:val="24"/>
              </w:rPr>
            </w:pPr>
            <w:r w:rsidRPr="00522F63">
              <w:rPr>
                <w:rFonts w:cs="Times New Roman"/>
                <w:b/>
                <w:bCs/>
                <w:szCs w:val="24"/>
              </w:rPr>
              <w:t>Effective with discharges: July 1, 2000</w:t>
            </w:r>
          </w:p>
        </w:tc>
      </w:tr>
      <w:tr w:rsidR="00DB1596" w:rsidRPr="00404B57" w14:paraId="6ED7DD53" w14:textId="77777777" w:rsidTr="00DB1596">
        <w:trPr>
          <w:trHeight w:val="58"/>
        </w:trPr>
        <w:tc>
          <w:tcPr>
            <w:tcW w:w="2273" w:type="dxa"/>
            <w:shd w:val="clear" w:color="auto" w:fill="auto"/>
          </w:tcPr>
          <w:p w14:paraId="0BCBD835" w14:textId="77777777" w:rsidR="00DB1596" w:rsidRPr="00404B57" w:rsidRDefault="00DB1596" w:rsidP="005A376C">
            <w:pPr>
              <w:spacing w:after="0" w:line="240" w:lineRule="auto"/>
              <w:rPr>
                <w:rFonts w:ascii="Times New Roman" w:hAnsi="Times New Roman"/>
                <w:b/>
                <w:sz w:val="24"/>
              </w:rPr>
            </w:pPr>
            <w:r w:rsidRPr="00404B57">
              <w:rPr>
                <w:rFonts w:ascii="Times New Roman" w:hAnsi="Times New Roman"/>
                <w:b/>
                <w:sz w:val="24"/>
              </w:rPr>
              <w:t>Practice Guideline Recommendation</w:t>
            </w:r>
          </w:p>
        </w:tc>
        <w:tc>
          <w:tcPr>
            <w:tcW w:w="7020" w:type="dxa"/>
            <w:shd w:val="clear" w:color="auto" w:fill="auto"/>
          </w:tcPr>
          <w:p w14:paraId="263232E9" w14:textId="77777777" w:rsidR="00DB1596" w:rsidRPr="00404B57" w:rsidRDefault="00DB1596" w:rsidP="005A376C">
            <w:pPr>
              <w:numPr>
                <w:ilvl w:val="0"/>
                <w:numId w:val="18"/>
              </w:numPr>
              <w:spacing w:after="0" w:line="240" w:lineRule="auto"/>
              <w:rPr>
                <w:rFonts w:ascii="Times New Roman" w:eastAsia="Calibri" w:hAnsi="Times New Roman" w:cs="Times New Roman"/>
                <w:sz w:val="24"/>
                <w:szCs w:val="24"/>
              </w:rPr>
            </w:pPr>
            <w:r w:rsidRPr="00DB1596">
              <w:rPr>
                <w:rFonts w:ascii="Times New Roman" w:hAnsi="Times New Roman" w:cs="Times New Roman"/>
                <w:b/>
                <w:bCs/>
                <w:sz w:val="24"/>
                <w:szCs w:val="24"/>
              </w:rPr>
              <w:t>When the documentation in the medical record is clear and consistent, coders may assign and report codes.</w:t>
            </w:r>
            <w:r w:rsidRPr="00404B57">
              <w:rPr>
                <w:rFonts w:ascii="Times New Roman" w:hAnsi="Times New Roman" w:cs="Times New Roman"/>
                <w:sz w:val="24"/>
                <w:szCs w:val="24"/>
              </w:rPr>
              <w:t xml:space="preserve"> If there is evidence of a diagnosis within the medical record, and the coder is uncertain whether it is a valid diagnosis because the documentation is incomplete, vague, or contradictory, it is the coder's responsibility to query the attending physician to determine if this diagnosis should be included in the final diagnostic statement. </w:t>
            </w:r>
            <w:r w:rsidRPr="00DB1596">
              <w:rPr>
                <w:rFonts w:ascii="Times New Roman" w:hAnsi="Times New Roman" w:cs="Times New Roman"/>
                <w:b/>
                <w:bCs/>
                <w:sz w:val="24"/>
                <w:szCs w:val="24"/>
              </w:rPr>
              <w:t>All diagnoses should be supported by physician documentation.</w:t>
            </w:r>
            <w:r w:rsidRPr="00404B57">
              <w:rPr>
                <w:rFonts w:ascii="Times New Roman" w:hAnsi="Times New Roman" w:cs="Times New Roman"/>
                <w:sz w:val="24"/>
                <w:szCs w:val="24"/>
              </w:rPr>
              <w:t xml:space="preserve"> Documentation is not limited to the face sheet, discharge summary, progress notes, history and physical, or other report designed to capture diagnostic information.</w:t>
            </w:r>
          </w:p>
        </w:tc>
      </w:tr>
      <w:tr w:rsidR="00DB1596" w:rsidRPr="00404B57" w14:paraId="1FA8E576" w14:textId="77777777" w:rsidTr="00DB1596">
        <w:trPr>
          <w:trHeight w:val="58"/>
        </w:trPr>
        <w:tc>
          <w:tcPr>
            <w:tcW w:w="2273" w:type="dxa"/>
            <w:shd w:val="clear" w:color="auto" w:fill="D9D9D9"/>
          </w:tcPr>
          <w:p w14:paraId="6A529A55" w14:textId="77777777" w:rsidR="00DB1596" w:rsidRPr="00404B57" w:rsidRDefault="00DB1596" w:rsidP="005A376C">
            <w:pPr>
              <w:spacing w:after="0" w:line="240" w:lineRule="auto"/>
              <w:rPr>
                <w:rFonts w:ascii="Times New Roman" w:eastAsia="Calibri" w:hAnsi="Times New Roman" w:cs="Times New Roman"/>
                <w:b/>
                <w:sz w:val="12"/>
                <w:szCs w:val="12"/>
              </w:rPr>
            </w:pPr>
          </w:p>
        </w:tc>
        <w:tc>
          <w:tcPr>
            <w:tcW w:w="7020" w:type="dxa"/>
            <w:shd w:val="clear" w:color="auto" w:fill="D9D9D9"/>
          </w:tcPr>
          <w:p w14:paraId="7DF79F58" w14:textId="77777777" w:rsidR="00DB1596" w:rsidRPr="00404B57" w:rsidRDefault="00DB1596" w:rsidP="005A376C">
            <w:pPr>
              <w:tabs>
                <w:tab w:val="left" w:pos="7182"/>
              </w:tabs>
              <w:spacing w:after="0" w:afterAutospacing="1" w:line="240" w:lineRule="auto"/>
              <w:ind w:right="-810"/>
              <w:rPr>
                <w:rFonts w:ascii="Times New Roman" w:eastAsia="Calibri" w:hAnsi="Times New Roman" w:cs="Times New Roman"/>
                <w:sz w:val="12"/>
                <w:szCs w:val="12"/>
              </w:rPr>
            </w:pPr>
          </w:p>
        </w:tc>
      </w:tr>
    </w:tbl>
    <w:p w14:paraId="40EA17C2" w14:textId="77777777" w:rsidR="00061DFA" w:rsidRDefault="00061DFA" w:rsidP="00DB1596">
      <w:pPr>
        <w:spacing w:after="0" w:line="240" w:lineRule="auto"/>
        <w:rPr>
          <w:rFonts w:ascii="Times New Roman" w:eastAsia="Calibri" w:hAnsi="Times New Roman" w:cs="Times New Roman"/>
          <w:b/>
          <w:sz w:val="24"/>
          <w:u w:val="single"/>
        </w:rPr>
      </w:pPr>
    </w:p>
    <w:p w14:paraId="6F9E32B5" w14:textId="77777777" w:rsidR="00061DFA" w:rsidRPr="0099404B" w:rsidRDefault="00061DFA" w:rsidP="00061DFA">
      <w:pPr>
        <w:spacing w:after="0" w:line="240" w:lineRule="auto"/>
        <w:jc w:val="center"/>
        <w:rPr>
          <w:rFonts w:ascii="Times New Roman" w:eastAsia="Calibri" w:hAnsi="Times New Roman" w:cs="Times New Roman"/>
          <w:b/>
          <w:sz w:val="24"/>
        </w:rPr>
      </w:pPr>
      <w:bookmarkStart w:id="8" w:name="_Hlk153181743"/>
      <w:r w:rsidRPr="0099404B">
        <w:rPr>
          <w:rFonts w:ascii="Times New Roman" w:eastAsia="Calibri" w:hAnsi="Times New Roman" w:cs="Times New Roman"/>
          <w:b/>
          <w:sz w:val="24"/>
        </w:rPr>
        <w:t>Conclusion</w:t>
      </w:r>
    </w:p>
    <w:p w14:paraId="1A9F7D82" w14:textId="77777777" w:rsidR="00CD53E9" w:rsidRPr="00061DFA" w:rsidRDefault="00CD53E9" w:rsidP="00061DFA">
      <w:pPr>
        <w:spacing w:after="0" w:line="240" w:lineRule="auto"/>
        <w:rPr>
          <w:rFonts w:ascii="Times New Roman" w:eastAsia="Calibri" w:hAnsi="Times New Roman" w:cs="Times New Roman"/>
          <w:b/>
          <w:sz w:val="24"/>
        </w:rPr>
      </w:pPr>
    </w:p>
    <w:p w14:paraId="288C989E" w14:textId="5EF37341" w:rsidR="00061DFA" w:rsidRPr="00061DFA" w:rsidRDefault="00061DFA" w:rsidP="00061DFA">
      <w:pPr>
        <w:spacing w:after="0" w:line="240" w:lineRule="auto"/>
        <w:rPr>
          <w:rFonts w:ascii="Times New Roman" w:eastAsia="Calibri" w:hAnsi="Times New Roman" w:cs="Times New Roman"/>
          <w:sz w:val="24"/>
        </w:rPr>
      </w:pP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Facility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w:t>
      </w:r>
      <w:r w:rsidRPr="00061DFA">
        <w:rPr>
          <w:rFonts w:ascii="Times New Roman" w:eastAsia="Calibri" w:hAnsi="Times New Roman" w:cs="Times New Roman"/>
          <w:sz w:val="24"/>
          <w:szCs w:val="24"/>
        </w:rPr>
        <w:fldChar w:fldCharType="end"/>
      </w:r>
      <w:r w:rsidRPr="00061DFA">
        <w:rPr>
          <w:rFonts w:ascii="Times New Roman" w:eastAsia="Calibri" w:hAnsi="Times New Roman" w:cs="Times New Roman"/>
          <w:sz w:val="24"/>
          <w:szCs w:val="24"/>
        </w:rPr>
        <w:t xml:space="preserve"> </w:t>
      </w:r>
      <w:r w:rsidRPr="00061DFA">
        <w:rPr>
          <w:rFonts w:ascii="Times New Roman" w:eastAsia="Calibri" w:hAnsi="Times New Roman" w:cs="Times New Roman"/>
          <w:sz w:val="24"/>
        </w:rPr>
        <w:t xml:space="preserve">provided medically necessary services to </w:t>
      </w:r>
      <w:r w:rsidR="00885C8B" w:rsidRPr="007F3947">
        <w:rPr>
          <w:rFonts w:ascii="Times New Roman" w:eastAsia="Calibri" w:hAnsi="Times New Roman" w:cs="Times New Roman"/>
          <w:sz w:val="24"/>
        </w:rPr>
        <w:fldChar w:fldCharType="begin"/>
      </w:r>
      <w:r w:rsidR="00885C8B" w:rsidRPr="007F3947">
        <w:rPr>
          <w:rFonts w:ascii="Times New Roman" w:eastAsia="Calibri" w:hAnsi="Times New Roman" w:cs="Times New Roman"/>
          <w:sz w:val="24"/>
        </w:rPr>
        <w:instrText xml:space="preserve"> MERGEFIELD </w:instrText>
      </w:r>
      <w:r w:rsidR="00885C8B" w:rsidRPr="007F3947">
        <w:rPr>
          <w:rFonts w:ascii="Times New Roman" w:eastAsia="Calibri" w:hAnsi="Times New Roman" w:cs="Times New Roman"/>
          <w:bCs/>
          <w:sz w:val="24"/>
          <w:lang w:bidi="en-US"/>
        </w:rPr>
        <w:instrText>PAT_Full_Name</w:instrText>
      </w:r>
      <w:r w:rsidR="00885C8B" w:rsidRPr="007F3947">
        <w:rPr>
          <w:rFonts w:ascii="Times New Roman" w:eastAsia="Calibri" w:hAnsi="Times New Roman" w:cs="Times New Roman"/>
          <w:sz w:val="24"/>
        </w:rPr>
        <w:instrText xml:space="preserve"> </w:instrText>
      </w:r>
      <w:r w:rsidR="00885C8B" w:rsidRPr="007F3947">
        <w:rPr>
          <w:rFonts w:ascii="Times New Roman" w:eastAsia="Calibri" w:hAnsi="Times New Roman" w:cs="Times New Roman"/>
          <w:sz w:val="24"/>
        </w:rPr>
        <w:fldChar w:fldCharType="separate"/>
      </w:r>
      <w:r w:rsidR="00885C8B" w:rsidRPr="007F3947">
        <w:rPr>
          <w:rFonts w:ascii="Times New Roman" w:eastAsia="Calibri" w:hAnsi="Times New Roman" w:cs="Times New Roman"/>
          <w:noProof/>
          <w:sz w:val="24"/>
        </w:rPr>
        <w:t>«PAT_Full_Name»</w:t>
      </w:r>
      <w:r w:rsidR="00885C8B" w:rsidRPr="007F3947">
        <w:rPr>
          <w:rFonts w:ascii="Times New Roman" w:eastAsia="Calibri" w:hAnsi="Times New Roman" w:cs="Times New Roman"/>
          <w:sz w:val="24"/>
        </w:rPr>
        <w:fldChar w:fldCharType="end"/>
      </w:r>
      <w:r w:rsidRPr="00061DFA">
        <w:rPr>
          <w:rFonts w:ascii="Times New Roman" w:eastAsia="Calibri" w:hAnsi="Times New Roman" w:cs="Times New Roman"/>
          <w:sz w:val="24"/>
        </w:rPr>
        <w:t xml:space="preserve"> with the expectation that those services would be reimbursed according to the documentation in all UHDDS communications.  </w:t>
      </w: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Facility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w:t>
      </w:r>
      <w:r w:rsidRPr="00061DFA">
        <w:rPr>
          <w:rFonts w:ascii="Times New Roman" w:eastAsia="Calibri" w:hAnsi="Times New Roman" w:cs="Times New Roman"/>
          <w:sz w:val="24"/>
          <w:szCs w:val="24"/>
        </w:rPr>
        <w:fldChar w:fldCharType="end"/>
      </w:r>
      <w:r w:rsidRPr="00061DFA">
        <w:rPr>
          <w:rFonts w:ascii="Times New Roman" w:eastAsia="Calibri" w:hAnsi="Times New Roman" w:cs="Times New Roman"/>
          <w:sz w:val="24"/>
          <w:szCs w:val="24"/>
        </w:rPr>
        <w:t xml:space="preserve"> </w:t>
      </w:r>
      <w:r w:rsidRPr="00061DFA">
        <w:rPr>
          <w:rFonts w:ascii="Times New Roman" w:eastAsia="Calibri" w:hAnsi="Times New Roman" w:cs="Times New Roman"/>
          <w:sz w:val="24"/>
        </w:rPr>
        <w:t xml:space="preserve">respectfully requests that you reconsider this claim and require payment to be made to </w:t>
      </w: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Facility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w:t>
      </w:r>
      <w:r w:rsidRPr="00061DFA">
        <w:rPr>
          <w:rFonts w:ascii="Times New Roman" w:eastAsia="Calibri" w:hAnsi="Times New Roman" w:cs="Times New Roman"/>
          <w:sz w:val="24"/>
          <w:szCs w:val="24"/>
        </w:rPr>
        <w:fldChar w:fldCharType="end"/>
      </w:r>
      <w:r w:rsidRPr="00061DFA">
        <w:rPr>
          <w:rFonts w:ascii="Times New Roman" w:eastAsia="Calibri" w:hAnsi="Times New Roman" w:cs="Times New Roman"/>
          <w:sz w:val="24"/>
          <w:szCs w:val="24"/>
        </w:rPr>
        <w:t xml:space="preserve"> </w:t>
      </w:r>
      <w:r w:rsidRPr="00061DFA">
        <w:rPr>
          <w:rFonts w:ascii="Times New Roman" w:eastAsia="Calibri" w:hAnsi="Times New Roman" w:cs="Times New Roman"/>
          <w:sz w:val="24"/>
        </w:rPr>
        <w:t xml:space="preserve">for the services provided to </w:t>
      </w:r>
      <w:r w:rsidR="00885C8B" w:rsidRPr="007F3947">
        <w:rPr>
          <w:rFonts w:ascii="Times New Roman" w:eastAsia="Calibri" w:hAnsi="Times New Roman" w:cs="Times New Roman"/>
          <w:sz w:val="24"/>
        </w:rPr>
        <w:fldChar w:fldCharType="begin"/>
      </w:r>
      <w:r w:rsidR="00885C8B" w:rsidRPr="007F3947">
        <w:rPr>
          <w:rFonts w:ascii="Times New Roman" w:eastAsia="Calibri" w:hAnsi="Times New Roman" w:cs="Times New Roman"/>
          <w:sz w:val="24"/>
        </w:rPr>
        <w:instrText xml:space="preserve"> MERGEFIELD </w:instrText>
      </w:r>
      <w:r w:rsidR="00885C8B" w:rsidRPr="007F3947">
        <w:rPr>
          <w:rFonts w:ascii="Times New Roman" w:eastAsia="Calibri" w:hAnsi="Times New Roman" w:cs="Times New Roman"/>
          <w:bCs/>
          <w:sz w:val="24"/>
          <w:lang w:bidi="en-US"/>
        </w:rPr>
        <w:instrText>PAT_Full_Name</w:instrText>
      </w:r>
      <w:r w:rsidR="00885C8B" w:rsidRPr="007F3947">
        <w:rPr>
          <w:rFonts w:ascii="Times New Roman" w:eastAsia="Calibri" w:hAnsi="Times New Roman" w:cs="Times New Roman"/>
          <w:sz w:val="24"/>
        </w:rPr>
        <w:instrText xml:space="preserve"> </w:instrText>
      </w:r>
      <w:r w:rsidR="00885C8B" w:rsidRPr="007F3947">
        <w:rPr>
          <w:rFonts w:ascii="Times New Roman" w:eastAsia="Calibri" w:hAnsi="Times New Roman" w:cs="Times New Roman"/>
          <w:sz w:val="24"/>
        </w:rPr>
        <w:fldChar w:fldCharType="separate"/>
      </w:r>
      <w:r w:rsidR="00885C8B" w:rsidRPr="007F3947">
        <w:rPr>
          <w:rFonts w:ascii="Times New Roman" w:eastAsia="Calibri" w:hAnsi="Times New Roman" w:cs="Times New Roman"/>
          <w:noProof/>
          <w:sz w:val="24"/>
        </w:rPr>
        <w:t>«PAT_Full_Name»</w:t>
      </w:r>
      <w:r w:rsidR="00885C8B" w:rsidRPr="007F3947">
        <w:rPr>
          <w:rFonts w:ascii="Times New Roman" w:eastAsia="Calibri" w:hAnsi="Times New Roman" w:cs="Times New Roman"/>
          <w:sz w:val="24"/>
        </w:rPr>
        <w:fldChar w:fldCharType="end"/>
      </w:r>
      <w:r w:rsidRPr="00061DFA">
        <w:rPr>
          <w:rFonts w:ascii="Times New Roman" w:eastAsia="Calibri" w:hAnsi="Times New Roman" w:cs="Times New Roman"/>
          <w:sz w:val="24"/>
        </w:rPr>
        <w:t xml:space="preserve"> in this case.</w:t>
      </w:r>
    </w:p>
    <w:bookmarkEnd w:id="8"/>
    <w:p w14:paraId="34C7A04B" w14:textId="77777777" w:rsidR="00061DFA" w:rsidRPr="00061DFA" w:rsidRDefault="00061DFA" w:rsidP="00061DFA">
      <w:pPr>
        <w:spacing w:after="0" w:line="240" w:lineRule="auto"/>
        <w:rPr>
          <w:rFonts w:ascii="Times New Roman" w:eastAsia="Calibri" w:hAnsi="Times New Roman" w:cs="Times New Roman"/>
          <w:sz w:val="24"/>
        </w:rPr>
      </w:pPr>
    </w:p>
    <w:p w14:paraId="695D2E3E" w14:textId="77777777" w:rsidR="00061DFA" w:rsidRPr="00061DFA" w:rsidRDefault="00061DFA" w:rsidP="00061DFA">
      <w:pPr>
        <w:spacing w:after="0" w:line="240" w:lineRule="auto"/>
        <w:rPr>
          <w:rFonts w:ascii="Times New Roman" w:eastAsia="Calibri" w:hAnsi="Times New Roman" w:cs="Times New Roman"/>
          <w:sz w:val="24"/>
        </w:rPr>
      </w:pPr>
      <w:r w:rsidRPr="00061DFA">
        <w:rPr>
          <w:rFonts w:ascii="Times New Roman" w:eastAsia="Calibri" w:hAnsi="Times New Roman" w:cs="Times New Roman"/>
          <w:sz w:val="24"/>
        </w:rPr>
        <w:t>I appreciate your attention to this matter and invite you to contact me should you have any questions.</w:t>
      </w:r>
    </w:p>
    <w:p w14:paraId="36C3E7ED" w14:textId="77777777" w:rsidR="00061DFA" w:rsidRPr="00061DFA" w:rsidRDefault="00061DFA" w:rsidP="00061DFA">
      <w:pPr>
        <w:spacing w:after="0" w:line="240" w:lineRule="auto"/>
        <w:rPr>
          <w:rFonts w:ascii="Times New Roman" w:eastAsia="Calibri" w:hAnsi="Times New Roman" w:cs="Times New Roman"/>
          <w:sz w:val="24"/>
        </w:rPr>
      </w:pPr>
    </w:p>
    <w:p w14:paraId="14A53C0D" w14:textId="77777777" w:rsidR="00061DFA" w:rsidRPr="00061DFA" w:rsidRDefault="00061DFA" w:rsidP="00061DFA">
      <w:pPr>
        <w:spacing w:after="0" w:line="240" w:lineRule="auto"/>
        <w:rPr>
          <w:rFonts w:ascii="Times New Roman" w:eastAsia="Calibri" w:hAnsi="Times New Roman" w:cs="Times New Roman"/>
          <w:sz w:val="24"/>
        </w:rPr>
      </w:pPr>
      <w:r w:rsidRPr="00061DFA">
        <w:rPr>
          <w:rFonts w:ascii="Times New Roman" w:eastAsia="Calibri" w:hAnsi="Times New Roman" w:cs="Times New Roman"/>
          <w:sz w:val="24"/>
        </w:rPr>
        <w:t>Respectfully,</w:t>
      </w:r>
    </w:p>
    <w:p w14:paraId="21FD871B" w14:textId="77777777" w:rsidR="00061DFA" w:rsidRPr="00061DFA" w:rsidRDefault="00061DFA" w:rsidP="00061DFA">
      <w:pPr>
        <w:spacing w:after="0" w:line="240" w:lineRule="auto"/>
        <w:rPr>
          <w:rFonts w:ascii="Times New Roman" w:eastAsia="Calibri" w:hAnsi="Times New Roman" w:cs="Times New Roman"/>
          <w:noProof/>
          <w:sz w:val="24"/>
        </w:rPr>
      </w:pPr>
    </w:p>
    <w:p w14:paraId="1634DC1F" w14:textId="77777777" w:rsidR="00061DFA" w:rsidRPr="00061DFA" w:rsidRDefault="00061DFA" w:rsidP="00061DFA">
      <w:pPr>
        <w:spacing w:after="0" w:line="240" w:lineRule="auto"/>
        <w:rPr>
          <w:rFonts w:ascii="Times New Roman" w:eastAsia="Calibri" w:hAnsi="Times New Roman" w:cs="Times New Roman"/>
          <w:noProof/>
          <w:sz w:val="24"/>
        </w:rPr>
      </w:pPr>
      <w:r w:rsidRPr="00061DFA">
        <w:rPr>
          <w:rFonts w:ascii="Times New Roman" w:eastAsia="Calibri" w:hAnsi="Times New Roman" w:cs="Times New Roman"/>
          <w:noProof/>
          <w:sz w:val="24"/>
        </w:rPr>
        <w:t>Image_Signature</w:t>
      </w:r>
    </w:p>
    <w:p w14:paraId="04ED456A" w14:textId="77777777" w:rsidR="00061DFA" w:rsidRPr="00061DFA" w:rsidRDefault="00061DFA" w:rsidP="00061DFA">
      <w:pPr>
        <w:spacing w:after="0" w:line="240" w:lineRule="auto"/>
        <w:rPr>
          <w:rFonts w:ascii="Times New Roman" w:eastAsia="Calibri" w:hAnsi="Times New Roman" w:cs="Times New Roman"/>
          <w:color w:val="1F497D"/>
          <w:sz w:val="18"/>
          <w:szCs w:val="18"/>
        </w:rPr>
      </w:pPr>
    </w:p>
    <w:p w14:paraId="1D8CB72C" w14:textId="77777777" w:rsidR="00061DFA" w:rsidRPr="00061DFA" w:rsidRDefault="00061DFA" w:rsidP="00061DFA">
      <w:pPr>
        <w:spacing w:after="0" w:line="240" w:lineRule="auto"/>
        <w:rPr>
          <w:rFonts w:ascii="Times New Roman" w:eastAsia="Calibri" w:hAnsi="Times New Roman" w:cs="Times New Roman"/>
          <w:sz w:val="24"/>
          <w:szCs w:val="24"/>
        </w:rPr>
      </w:pPr>
      <w:r w:rsidRPr="00061DFA">
        <w:rPr>
          <w:rFonts w:ascii="Times New Roman" w:eastAsia="Calibri" w:hAnsi="Times New Roman" w:cs="Times New Roman"/>
          <w:sz w:val="24"/>
          <w:szCs w:val="24"/>
        </w:rPr>
        <w:lastRenderedPageBreak/>
        <w:fldChar w:fldCharType="begin"/>
      </w:r>
      <w:r w:rsidRPr="00061DFA">
        <w:rPr>
          <w:rFonts w:ascii="Times New Roman" w:eastAsia="Calibri" w:hAnsi="Times New Roman" w:cs="Times New Roman"/>
          <w:sz w:val="24"/>
          <w:szCs w:val="24"/>
        </w:rPr>
        <w:instrText xml:space="preserve"> MERGEFIELD  Facility_Signature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«Facility_Signature»</w:t>
      </w:r>
      <w:r w:rsidRPr="00061DFA">
        <w:rPr>
          <w:rFonts w:ascii="Times New Roman" w:eastAsia="Calibri" w:hAnsi="Times New Roman" w:cs="Times New Roman"/>
          <w:sz w:val="24"/>
          <w:szCs w:val="24"/>
        </w:rPr>
        <w:fldChar w:fldCharType="end"/>
      </w:r>
    </w:p>
    <w:p w14:paraId="3A5BC749" w14:textId="77777777" w:rsidR="00061DFA" w:rsidRPr="00061DFA" w:rsidRDefault="00061DFA" w:rsidP="00061DFA">
      <w:pPr>
        <w:spacing w:after="100" w:afterAutospacing="1" w:line="240" w:lineRule="auto"/>
        <w:rPr>
          <w:rFonts w:ascii="Times New Roman" w:eastAsia="Calibri" w:hAnsi="Times New Roman" w:cs="Times New Roman"/>
          <w:sz w:val="24"/>
        </w:rPr>
      </w:pPr>
    </w:p>
    <w:p w14:paraId="6DF90D1D" w14:textId="77777777" w:rsidR="00061DFA" w:rsidRPr="00061DFA" w:rsidRDefault="00061DFA" w:rsidP="00061DFA">
      <w:pPr>
        <w:spacing w:after="0" w:line="240" w:lineRule="auto"/>
        <w:rPr>
          <w:rFonts w:ascii="Times New Roman" w:eastAsia="Calibri" w:hAnsi="Times New Roman" w:cs="Times New Roman"/>
          <w:sz w:val="24"/>
        </w:rPr>
      </w:pPr>
      <w:r w:rsidRPr="00061DFA">
        <w:rPr>
          <w:rFonts w:ascii="Times New Roman" w:eastAsia="Calibri" w:hAnsi="Times New Roman" w:cs="Times New Roman"/>
          <w:sz w:val="24"/>
        </w:rPr>
        <w:t>Submitted with the authority of the Provider,</w:t>
      </w:r>
    </w:p>
    <w:p w14:paraId="06790A53" w14:textId="77777777" w:rsidR="00061DFA" w:rsidRPr="00061DFA" w:rsidRDefault="00061DFA" w:rsidP="00061DFA">
      <w:pPr>
        <w:spacing w:after="0" w:line="240" w:lineRule="auto"/>
        <w:rPr>
          <w:rFonts w:ascii="Times New Roman" w:eastAsia="Calibri" w:hAnsi="Times New Roman" w:cs="Times New Roman"/>
          <w:color w:val="000000"/>
          <w:sz w:val="24"/>
        </w:rPr>
      </w:pPr>
    </w:p>
    <w:p w14:paraId="6C8DBE22" w14:textId="77777777" w:rsidR="00061DFA" w:rsidRPr="00061DFA" w:rsidRDefault="00061DFA" w:rsidP="00061DFA">
      <w:pPr>
        <w:spacing w:after="0" w:line="240" w:lineRule="auto"/>
        <w:rPr>
          <w:rFonts w:ascii="Times New Roman" w:eastAsia="Calibri" w:hAnsi="Times New Roman" w:cs="Times New Roman"/>
          <w:b/>
          <w:sz w:val="24"/>
          <w:szCs w:val="24"/>
        </w:rPr>
      </w:pPr>
      <w:r w:rsidRPr="00061DFA">
        <w:rPr>
          <w:rFonts w:ascii="Times New Roman" w:eastAsia="Calibri" w:hAnsi="Times New Roman" w:cs="Times New Roman"/>
          <w:b/>
          <w:sz w:val="24"/>
          <w:szCs w:val="24"/>
        </w:rPr>
        <w:t>Please return all correspondence to:</w:t>
      </w:r>
    </w:p>
    <w:p w14:paraId="14C41018" w14:textId="77777777" w:rsidR="00061DFA" w:rsidRPr="00061DFA" w:rsidRDefault="00061DFA" w:rsidP="00061DFA">
      <w:pPr>
        <w:spacing w:after="0" w:line="240" w:lineRule="auto"/>
        <w:rPr>
          <w:rFonts w:ascii="Times New Roman" w:eastAsia="Calibri" w:hAnsi="Times New Roman" w:cs="Times New Roman"/>
          <w:sz w:val="24"/>
          <w:szCs w:val="24"/>
        </w:rPr>
      </w:pPr>
    </w:p>
    <w:p w14:paraId="40AA385E" w14:textId="77777777" w:rsidR="00061DFA" w:rsidRPr="00061DFA" w:rsidRDefault="00061DFA" w:rsidP="00061DFA">
      <w:pPr>
        <w:spacing w:after="0" w:line="240" w:lineRule="auto"/>
        <w:rPr>
          <w:rFonts w:ascii="Times New Roman" w:eastAsia="Calibri" w:hAnsi="Times New Roman" w:cs="Times New Roman"/>
          <w:sz w:val="24"/>
          <w:szCs w:val="24"/>
        </w:rPr>
      </w:pP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w:instrText>
      </w:r>
      <w:r w:rsidRPr="00061DFA">
        <w:rPr>
          <w:rFonts w:ascii="Calibri,Bold" w:eastAsia="Calibri" w:hAnsi="Calibri,Bold" w:cs="Calibri,Bold"/>
          <w:b/>
          <w:bCs/>
        </w:rPr>
        <w:instrText>Facility_Description</w:instrText>
      </w:r>
      <w:r w:rsidRPr="00061DFA">
        <w:rPr>
          <w:rFonts w:ascii="Times New Roman" w:eastAsia="Calibri" w:hAnsi="Times New Roman" w:cs="Times New Roman"/>
          <w:sz w:val="24"/>
          <w:szCs w:val="24"/>
        </w:rPr>
        <w:instrText xml:space="preserve">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«Facility_Description»</w:t>
      </w:r>
      <w:r w:rsidRPr="00061DFA">
        <w:rPr>
          <w:rFonts w:ascii="Times New Roman" w:eastAsia="Calibri" w:hAnsi="Times New Roman" w:cs="Times New Roman"/>
          <w:sz w:val="24"/>
          <w:szCs w:val="24"/>
        </w:rPr>
        <w:fldChar w:fldCharType="end"/>
      </w:r>
    </w:p>
    <w:p w14:paraId="5D414B35" w14:textId="77777777" w:rsidR="00061DFA" w:rsidRPr="00061DFA" w:rsidRDefault="00061DFA" w:rsidP="00061DFA">
      <w:pPr>
        <w:spacing w:after="0" w:line="240" w:lineRule="auto"/>
        <w:rPr>
          <w:rFonts w:ascii="Times New Roman" w:eastAsia="Calibri" w:hAnsi="Times New Roman" w:cs="Times New Roman"/>
          <w:sz w:val="24"/>
          <w:szCs w:val="24"/>
        </w:rPr>
      </w:pPr>
    </w:p>
    <w:p w14:paraId="2CEF2106" w14:textId="77777777" w:rsidR="00061DFA" w:rsidRPr="00061DFA" w:rsidRDefault="00061DFA" w:rsidP="00061DFA">
      <w:pPr>
        <w:spacing w:after="0" w:line="240" w:lineRule="auto"/>
        <w:rPr>
          <w:rFonts w:ascii="Times New Roman" w:eastAsia="Calibri" w:hAnsi="Times New Roman" w:cs="Times New Roman"/>
          <w:sz w:val="24"/>
          <w:szCs w:val="24"/>
        </w:rPr>
      </w:pPr>
      <w:r w:rsidRPr="00061DFA">
        <w:rPr>
          <w:rFonts w:ascii="Times New Roman" w:eastAsia="Calibri" w:hAnsi="Times New Roman" w:cs="Times New Roman"/>
          <w:sz w:val="24"/>
          <w:szCs w:val="24"/>
        </w:rPr>
        <w:t xml:space="preserve">NPI: </w:t>
      </w: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w:instrText>
      </w:r>
      <w:r w:rsidRPr="00061DFA">
        <w:rPr>
          <w:rFonts w:ascii="Times New Roman" w:eastAsia="Calibri" w:hAnsi="Times New Roman" w:cs="Times New Roman"/>
          <w:bCs/>
          <w:sz w:val="24"/>
          <w:szCs w:val="24"/>
          <w:lang w:bidi="en-US"/>
        </w:rPr>
        <w:instrText>Facility_NPI</w:instrText>
      </w:r>
      <w:r w:rsidRPr="00061DFA">
        <w:rPr>
          <w:rFonts w:ascii="Times New Roman" w:eastAsia="Calibri" w:hAnsi="Times New Roman" w:cs="Times New Roman"/>
          <w:sz w:val="24"/>
          <w:szCs w:val="24"/>
        </w:rPr>
        <w:instrText xml:space="preserve">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«Facility_NPI»</w:t>
      </w:r>
      <w:r w:rsidRPr="00061DFA">
        <w:rPr>
          <w:rFonts w:ascii="Times New Roman" w:eastAsia="Calibri" w:hAnsi="Times New Roman" w:cs="Times New Roman"/>
          <w:sz w:val="24"/>
          <w:szCs w:val="24"/>
        </w:rPr>
        <w:fldChar w:fldCharType="end"/>
      </w:r>
    </w:p>
    <w:p w14:paraId="6CD2A4D1" w14:textId="77777777" w:rsidR="00061DFA" w:rsidRPr="00061DFA" w:rsidRDefault="00061DFA" w:rsidP="00061DFA">
      <w:pPr>
        <w:spacing w:after="0" w:line="240" w:lineRule="auto"/>
        <w:rPr>
          <w:rFonts w:ascii="Times New Roman" w:eastAsia="Calibri" w:hAnsi="Times New Roman" w:cs="Times New Roman"/>
          <w:sz w:val="24"/>
          <w:szCs w:val="24"/>
        </w:rPr>
      </w:pPr>
      <w:r w:rsidRPr="00061DFA">
        <w:rPr>
          <w:rFonts w:ascii="Times New Roman" w:eastAsia="Calibri" w:hAnsi="Times New Roman" w:cs="Times New Roman"/>
          <w:sz w:val="24"/>
          <w:szCs w:val="24"/>
        </w:rPr>
        <w:t xml:space="preserve">Tax ID: </w:t>
      </w: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w:instrText>
      </w:r>
      <w:r w:rsidRPr="00061DFA">
        <w:rPr>
          <w:rFonts w:ascii="Times New Roman" w:eastAsia="Calibri" w:hAnsi="Times New Roman" w:cs="Calibri"/>
          <w:bCs/>
          <w:sz w:val="24"/>
          <w:szCs w:val="24"/>
          <w:lang w:bidi="en-US"/>
        </w:rPr>
        <w:instrText>Facility_Tax_ID</w:instrText>
      </w:r>
      <w:r w:rsidRPr="00061DFA">
        <w:rPr>
          <w:rFonts w:ascii="Times New Roman" w:eastAsia="Calibri" w:hAnsi="Times New Roman" w:cs="Times New Roman"/>
          <w:sz w:val="24"/>
          <w:szCs w:val="24"/>
        </w:rPr>
        <w:instrText xml:space="preserve">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«Facility_Tax_ID»</w:t>
      </w:r>
      <w:r w:rsidRPr="00061DFA">
        <w:rPr>
          <w:rFonts w:ascii="Times New Roman" w:eastAsia="Calibri" w:hAnsi="Times New Roman" w:cs="Times New Roman"/>
          <w:sz w:val="24"/>
          <w:szCs w:val="24"/>
        </w:rPr>
        <w:fldChar w:fldCharType="end"/>
      </w:r>
    </w:p>
    <w:p w14:paraId="6809C442" w14:textId="77777777" w:rsidR="00061DFA" w:rsidRPr="00061DFA" w:rsidRDefault="00061DFA" w:rsidP="00061DFA">
      <w:pPr>
        <w:spacing w:after="0" w:line="240" w:lineRule="auto"/>
        <w:rPr>
          <w:rFonts w:ascii="Times New Roman" w:eastAsia="Calibri" w:hAnsi="Times New Roman" w:cs="Times New Roman"/>
          <w:sz w:val="24"/>
          <w:szCs w:val="24"/>
        </w:rPr>
      </w:pPr>
      <w:r w:rsidRPr="00061DFA">
        <w:rPr>
          <w:rFonts w:ascii="Times New Roman" w:eastAsia="Calibri" w:hAnsi="Times New Roman" w:cs="Times New Roman"/>
          <w:sz w:val="24"/>
          <w:szCs w:val="24"/>
        </w:rPr>
        <w:t xml:space="preserve">PTAN: </w:t>
      </w: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PTAN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«PTAN»</w:t>
      </w:r>
      <w:r w:rsidRPr="00061DFA">
        <w:rPr>
          <w:rFonts w:ascii="Times New Roman" w:eastAsia="Calibri" w:hAnsi="Times New Roman" w:cs="Times New Roman"/>
          <w:sz w:val="24"/>
          <w:szCs w:val="24"/>
        </w:rPr>
        <w:fldChar w:fldCharType="end"/>
      </w:r>
    </w:p>
    <w:p w14:paraId="77CF8312" w14:textId="14F9A84A" w:rsidR="00620120" w:rsidRDefault="00061DFA" w:rsidP="0099404B">
      <w:pPr>
        <w:spacing w:after="0" w:line="240" w:lineRule="auto"/>
      </w:pPr>
      <w:r w:rsidRPr="00624FB1">
        <w:rPr>
          <w:rFonts w:ascii="Times New Roman" w:eastAsia="Calibri" w:hAnsi="Times New Roman" w:cs="Times New Roman"/>
          <w:sz w:val="24"/>
          <w:szCs w:val="24"/>
        </w:rPr>
        <w:fldChar w:fldCharType="begin"/>
      </w:r>
      <w:r w:rsidRPr="00624FB1">
        <w:rPr>
          <w:rFonts w:ascii="Times New Roman" w:eastAsia="Calibri" w:hAnsi="Times New Roman" w:cs="Times New Roman"/>
          <w:sz w:val="24"/>
          <w:szCs w:val="24"/>
        </w:rPr>
        <w:instrText xml:space="preserve"> MERGEFIELD TableEnd:PATIENTINFO </w:instrText>
      </w:r>
      <w:r w:rsidRPr="00624FB1">
        <w:rPr>
          <w:rFonts w:ascii="Times New Roman" w:eastAsia="Calibri" w:hAnsi="Times New Roman" w:cs="Times New Roman"/>
          <w:sz w:val="24"/>
          <w:szCs w:val="24"/>
        </w:rPr>
        <w:fldChar w:fldCharType="separate"/>
      </w:r>
      <w:r w:rsidRPr="00624FB1">
        <w:rPr>
          <w:rFonts w:ascii="Times New Roman" w:eastAsia="Calibri" w:hAnsi="Times New Roman" w:cs="Times New Roman"/>
          <w:noProof/>
          <w:sz w:val="24"/>
          <w:szCs w:val="24"/>
        </w:rPr>
        <w:t>«TableEnd:PATIENTINFO»</w:t>
      </w:r>
      <w:r w:rsidRPr="00624FB1">
        <w:rPr>
          <w:rFonts w:ascii="Times New Roman" w:eastAsia="Calibri" w:hAnsi="Times New Roman" w:cs="Times New Roman"/>
          <w:sz w:val="24"/>
          <w:szCs w:val="24"/>
        </w:rPr>
        <w:fldChar w:fldCharType="end"/>
      </w:r>
    </w:p>
    <w:sectPr w:rsidR="00620120">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68AC1" w14:textId="77777777" w:rsidR="00A504C6" w:rsidRDefault="00A504C6" w:rsidP="00147280">
      <w:pPr>
        <w:spacing w:after="0" w:line="240" w:lineRule="auto"/>
      </w:pPr>
      <w:r>
        <w:separator/>
      </w:r>
    </w:p>
  </w:endnote>
  <w:endnote w:type="continuationSeparator" w:id="0">
    <w:p w14:paraId="53B35ED8" w14:textId="77777777" w:rsidR="00A504C6" w:rsidRDefault="00A504C6" w:rsidP="0014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69B38" w14:textId="4F8CA12D" w:rsidR="00793472" w:rsidRDefault="00793472" w:rsidP="00793472">
    <w:pPr>
      <w:pStyle w:val="Footer"/>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noProof/>
        <w:sz w:val="24"/>
        <w:szCs w:val="24"/>
      </w:rPr>
      <w:fldChar w:fldCharType="end"/>
    </w:r>
  </w:p>
  <w:p w14:paraId="25E27B33" w14:textId="16D1D67A" w:rsidR="00793472" w:rsidRPr="006842B2" w:rsidRDefault="006842B2" w:rsidP="006842B2">
    <w:pPr>
      <w:pStyle w:val="Header"/>
      <w:rPr>
        <w:rFonts w:ascii="Times New Roman" w:hAnsi="Times New Roman"/>
        <w:sz w:val="24"/>
        <w:szCs w:val="24"/>
      </w:rPr>
    </w:pPr>
    <w:r w:rsidRPr="006842B2">
      <w:rPr>
        <w:rFonts w:ascii="Times New Roman" w:hAnsi="Times New Roman"/>
        <w:sz w:val="24"/>
        <w:szCs w:val="24"/>
      </w:rPr>
      <w:fldChar w:fldCharType="begin"/>
    </w:r>
    <w:r w:rsidRPr="006842B2">
      <w:rPr>
        <w:rFonts w:ascii="Times New Roman" w:hAnsi="Times New Roman"/>
        <w:sz w:val="24"/>
        <w:szCs w:val="24"/>
      </w:rPr>
      <w:instrText>MERGEFIELD TableStart:PATIENTINFO</w:instrText>
    </w:r>
    <w:r w:rsidRPr="006842B2">
      <w:rPr>
        <w:rFonts w:ascii="Times New Roman" w:hAnsi="Times New Roman"/>
        <w:sz w:val="24"/>
        <w:szCs w:val="24"/>
      </w:rPr>
      <w:fldChar w:fldCharType="separate"/>
    </w:r>
    <w:r w:rsidRPr="006842B2">
      <w:rPr>
        <w:rFonts w:ascii="Times New Roman" w:hAnsi="Times New Roman"/>
        <w:sz w:val="24"/>
        <w:szCs w:val="24"/>
      </w:rPr>
      <w:t>«TableStart:PATIENTINFO»</w:t>
    </w:r>
    <w:r w:rsidRPr="006842B2">
      <w:rPr>
        <w:rFonts w:ascii="Times New Roman" w:hAnsi="Times New Roman"/>
        <w:sz w:val="24"/>
        <w:szCs w:val="24"/>
      </w:rPr>
      <w:fldChar w:fldCharType="end"/>
    </w:r>
    <w:r w:rsidRPr="006842B2">
      <w:rPr>
        <w:rFonts w:ascii="Times New Roman" w:hAnsi="Times New Roman"/>
        <w:sz w:val="24"/>
        <w:szCs w:val="24"/>
      </w:rPr>
      <w:fldChar w:fldCharType="begin"/>
    </w:r>
    <w:r w:rsidRPr="006842B2">
      <w:rPr>
        <w:rFonts w:ascii="Times New Roman" w:hAnsi="Times New Roman"/>
        <w:sz w:val="24"/>
        <w:szCs w:val="24"/>
      </w:rPr>
      <w:instrText>MERGEFIELD Current_Level</w:instrText>
    </w:r>
    <w:r w:rsidRPr="006842B2">
      <w:rPr>
        <w:rFonts w:ascii="Times New Roman" w:hAnsi="Times New Roman"/>
        <w:sz w:val="24"/>
        <w:szCs w:val="24"/>
      </w:rPr>
      <w:fldChar w:fldCharType="separate"/>
    </w:r>
    <w:r w:rsidRPr="006842B2">
      <w:rPr>
        <w:rFonts w:ascii="Times New Roman" w:hAnsi="Times New Roman"/>
        <w:sz w:val="24"/>
        <w:szCs w:val="24"/>
      </w:rPr>
      <w:t>«Current_Level»</w:t>
    </w:r>
    <w:r w:rsidRPr="006842B2">
      <w:rPr>
        <w:rFonts w:ascii="Times New Roman" w:hAnsi="Times New Roman"/>
        <w:sz w:val="24"/>
        <w:szCs w:val="24"/>
      </w:rPr>
      <w:fldChar w:fldCharType="end"/>
    </w:r>
    <w:r w:rsidRPr="006842B2">
      <w:rPr>
        <w:rFonts w:ascii="Times New Roman" w:hAnsi="Times New Roman"/>
        <w:sz w:val="24"/>
        <w:szCs w:val="24"/>
      </w:rPr>
      <w:t xml:space="preserve"> - </w:t>
    </w:r>
    <w:r w:rsidRPr="006842B2">
      <w:rPr>
        <w:rFonts w:ascii="Times New Roman" w:hAnsi="Times New Roman"/>
        <w:sz w:val="24"/>
        <w:szCs w:val="24"/>
      </w:rPr>
      <w:fldChar w:fldCharType="begin"/>
    </w:r>
    <w:r w:rsidRPr="006842B2">
      <w:rPr>
        <w:rFonts w:ascii="Times New Roman" w:hAnsi="Times New Roman"/>
        <w:sz w:val="24"/>
        <w:szCs w:val="24"/>
      </w:rPr>
      <w:instrText>MERGEFIELD PCN</w:instrText>
    </w:r>
    <w:r w:rsidRPr="006842B2">
      <w:rPr>
        <w:rFonts w:ascii="Times New Roman" w:hAnsi="Times New Roman"/>
        <w:sz w:val="24"/>
        <w:szCs w:val="24"/>
      </w:rPr>
      <w:fldChar w:fldCharType="separate"/>
    </w:r>
    <w:r w:rsidRPr="006842B2">
      <w:rPr>
        <w:rFonts w:ascii="Times New Roman" w:hAnsi="Times New Roman"/>
        <w:sz w:val="24"/>
        <w:szCs w:val="24"/>
      </w:rPr>
      <w:t>«PCN»</w:t>
    </w:r>
    <w:r w:rsidRPr="006842B2">
      <w:rPr>
        <w:rFonts w:ascii="Times New Roman" w:hAnsi="Times New Roman"/>
        <w:sz w:val="24"/>
        <w:szCs w:val="24"/>
      </w:rPr>
      <w:fldChar w:fldCharType="end"/>
    </w:r>
    <w:r w:rsidRPr="006842B2">
      <w:rPr>
        <w:rFonts w:ascii="Times New Roman" w:hAnsi="Times New Roman"/>
        <w:sz w:val="24"/>
        <w:szCs w:val="24"/>
      </w:rPr>
      <w:fldChar w:fldCharType="begin"/>
    </w:r>
    <w:r w:rsidRPr="006842B2">
      <w:rPr>
        <w:rFonts w:ascii="Times New Roman" w:hAnsi="Times New Roman"/>
        <w:sz w:val="24"/>
        <w:szCs w:val="24"/>
      </w:rPr>
      <w:instrText>MERGEFIELD TableEnd:PATIENTINFO</w:instrText>
    </w:r>
    <w:r w:rsidRPr="006842B2">
      <w:rPr>
        <w:rFonts w:ascii="Times New Roman" w:hAnsi="Times New Roman"/>
        <w:sz w:val="24"/>
        <w:szCs w:val="24"/>
      </w:rPr>
      <w:fldChar w:fldCharType="separate"/>
    </w:r>
    <w:r w:rsidRPr="006842B2">
      <w:rPr>
        <w:rFonts w:ascii="Times New Roman" w:hAnsi="Times New Roman"/>
        <w:sz w:val="24"/>
        <w:szCs w:val="24"/>
      </w:rPr>
      <w:t>«TableEnd:PATIENTINFO»</w:t>
    </w:r>
    <w:r w:rsidRPr="006842B2">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3A448" w14:textId="77777777" w:rsidR="00A504C6" w:rsidRDefault="00A504C6" w:rsidP="00147280">
      <w:pPr>
        <w:spacing w:after="0" w:line="240" w:lineRule="auto"/>
      </w:pPr>
      <w:r>
        <w:separator/>
      </w:r>
    </w:p>
  </w:footnote>
  <w:footnote w:type="continuationSeparator" w:id="0">
    <w:p w14:paraId="0D3C6E0C" w14:textId="77777777" w:rsidR="00A504C6" w:rsidRDefault="00A504C6" w:rsidP="00147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E43"/>
    <w:multiLevelType w:val="hybridMultilevel"/>
    <w:tmpl w:val="12081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4A66C20">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46655"/>
    <w:multiLevelType w:val="hybridMultilevel"/>
    <w:tmpl w:val="13920A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72295E"/>
    <w:multiLevelType w:val="hybridMultilevel"/>
    <w:tmpl w:val="67C67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CC0E4E"/>
    <w:multiLevelType w:val="hybridMultilevel"/>
    <w:tmpl w:val="79C6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B5FBA"/>
    <w:multiLevelType w:val="hybridMultilevel"/>
    <w:tmpl w:val="511A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349E9"/>
    <w:multiLevelType w:val="hybridMultilevel"/>
    <w:tmpl w:val="76F616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F06D3D"/>
    <w:multiLevelType w:val="hybridMultilevel"/>
    <w:tmpl w:val="45506F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170704"/>
    <w:multiLevelType w:val="hybridMultilevel"/>
    <w:tmpl w:val="39A4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9C0FDF"/>
    <w:multiLevelType w:val="hybridMultilevel"/>
    <w:tmpl w:val="B0A8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E4842"/>
    <w:multiLevelType w:val="hybridMultilevel"/>
    <w:tmpl w:val="3F7E4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0409D"/>
    <w:multiLevelType w:val="multilevel"/>
    <w:tmpl w:val="EDE4F2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EE13AD2"/>
    <w:multiLevelType w:val="hybridMultilevel"/>
    <w:tmpl w:val="8D7E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85001"/>
    <w:multiLevelType w:val="hybridMultilevel"/>
    <w:tmpl w:val="1EF0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96530"/>
    <w:multiLevelType w:val="hybridMultilevel"/>
    <w:tmpl w:val="3CA8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C6F64"/>
    <w:multiLevelType w:val="hybridMultilevel"/>
    <w:tmpl w:val="5D74AE50"/>
    <w:lvl w:ilvl="0" w:tplc="9D820F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B4CF7"/>
    <w:multiLevelType w:val="hybridMultilevel"/>
    <w:tmpl w:val="E012B702"/>
    <w:lvl w:ilvl="0" w:tplc="9D820F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216A6"/>
    <w:multiLevelType w:val="hybridMultilevel"/>
    <w:tmpl w:val="6C1245D0"/>
    <w:lvl w:ilvl="0" w:tplc="9C9233D6">
      <w:start w:val="1"/>
      <w:numFmt w:val="decimal"/>
      <w:lvlText w:val="%1."/>
      <w:lvlJc w:val="left"/>
      <w:pPr>
        <w:ind w:left="630" w:hanging="360"/>
      </w:pPr>
      <w:rPr>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43A4253F"/>
    <w:multiLevelType w:val="hybridMultilevel"/>
    <w:tmpl w:val="AC2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D32B6"/>
    <w:multiLevelType w:val="hybridMultilevel"/>
    <w:tmpl w:val="B94E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957B51"/>
    <w:multiLevelType w:val="hybridMultilevel"/>
    <w:tmpl w:val="9C1E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972F1"/>
    <w:multiLevelType w:val="hybridMultilevel"/>
    <w:tmpl w:val="D436AD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941B4B"/>
    <w:multiLevelType w:val="hybridMultilevel"/>
    <w:tmpl w:val="8A882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AC6B9E"/>
    <w:multiLevelType w:val="hybridMultilevel"/>
    <w:tmpl w:val="CECE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55DDC"/>
    <w:multiLevelType w:val="hybridMultilevel"/>
    <w:tmpl w:val="144AC3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3752F4"/>
    <w:multiLevelType w:val="hybridMultilevel"/>
    <w:tmpl w:val="5B16C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815D84"/>
    <w:multiLevelType w:val="hybridMultilevel"/>
    <w:tmpl w:val="A748FE78"/>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910A1"/>
    <w:multiLevelType w:val="hybridMultilevel"/>
    <w:tmpl w:val="5102219C"/>
    <w:lvl w:ilvl="0" w:tplc="C9708926">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110669">
    <w:abstractNumId w:val="14"/>
  </w:num>
  <w:num w:numId="2" w16cid:durableId="1341735799">
    <w:abstractNumId w:val="15"/>
  </w:num>
  <w:num w:numId="3" w16cid:durableId="1298334443">
    <w:abstractNumId w:val="4"/>
  </w:num>
  <w:num w:numId="4" w16cid:durableId="1897428288">
    <w:abstractNumId w:val="18"/>
  </w:num>
  <w:num w:numId="5" w16cid:durableId="1016344307">
    <w:abstractNumId w:val="24"/>
  </w:num>
  <w:num w:numId="6" w16cid:durableId="1410038327">
    <w:abstractNumId w:val="13"/>
  </w:num>
  <w:num w:numId="7" w16cid:durableId="936332462">
    <w:abstractNumId w:val="21"/>
  </w:num>
  <w:num w:numId="8" w16cid:durableId="17900053">
    <w:abstractNumId w:val="17"/>
  </w:num>
  <w:num w:numId="9" w16cid:durableId="1573200338">
    <w:abstractNumId w:val="20"/>
  </w:num>
  <w:num w:numId="10" w16cid:durableId="1565750558">
    <w:abstractNumId w:val="19"/>
  </w:num>
  <w:num w:numId="11" w16cid:durableId="1879967287">
    <w:abstractNumId w:val="1"/>
  </w:num>
  <w:num w:numId="12" w16cid:durableId="761686208">
    <w:abstractNumId w:val="8"/>
  </w:num>
  <w:num w:numId="13" w16cid:durableId="2061592690">
    <w:abstractNumId w:val="11"/>
  </w:num>
  <w:num w:numId="14" w16cid:durableId="1618293581">
    <w:abstractNumId w:val="7"/>
  </w:num>
  <w:num w:numId="15" w16cid:durableId="1533613971">
    <w:abstractNumId w:val="3"/>
  </w:num>
  <w:num w:numId="16" w16cid:durableId="1455057835">
    <w:abstractNumId w:val="23"/>
  </w:num>
  <w:num w:numId="17" w16cid:durableId="564682060">
    <w:abstractNumId w:val="5"/>
  </w:num>
  <w:num w:numId="18" w16cid:durableId="74282450">
    <w:abstractNumId w:val="9"/>
  </w:num>
  <w:num w:numId="19" w16cid:durableId="449205394">
    <w:abstractNumId w:val="22"/>
  </w:num>
  <w:num w:numId="20" w16cid:durableId="930116337">
    <w:abstractNumId w:val="16"/>
  </w:num>
  <w:num w:numId="21" w16cid:durableId="204949907">
    <w:abstractNumId w:val="25"/>
  </w:num>
  <w:num w:numId="22" w16cid:durableId="195851328">
    <w:abstractNumId w:val="26"/>
  </w:num>
  <w:num w:numId="23" w16cid:durableId="121731558">
    <w:abstractNumId w:val="2"/>
  </w:num>
  <w:num w:numId="24" w16cid:durableId="2123373490">
    <w:abstractNumId w:val="12"/>
  </w:num>
  <w:num w:numId="25" w16cid:durableId="2015447513">
    <w:abstractNumId w:val="6"/>
  </w:num>
  <w:num w:numId="26" w16cid:durableId="198793307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2652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64"/>
    <w:rsid w:val="00061DFA"/>
    <w:rsid w:val="0006622E"/>
    <w:rsid w:val="00067918"/>
    <w:rsid w:val="00086C15"/>
    <w:rsid w:val="00087A36"/>
    <w:rsid w:val="001049C0"/>
    <w:rsid w:val="00147280"/>
    <w:rsid w:val="00151497"/>
    <w:rsid w:val="001B19A7"/>
    <w:rsid w:val="001E3E6D"/>
    <w:rsid w:val="00266062"/>
    <w:rsid w:val="00286A5B"/>
    <w:rsid w:val="002D28E4"/>
    <w:rsid w:val="002D7B23"/>
    <w:rsid w:val="00302901"/>
    <w:rsid w:val="00366A8C"/>
    <w:rsid w:val="003B175B"/>
    <w:rsid w:val="003B1A3B"/>
    <w:rsid w:val="003D6F29"/>
    <w:rsid w:val="0040069C"/>
    <w:rsid w:val="004414BC"/>
    <w:rsid w:val="0046698E"/>
    <w:rsid w:val="004873B1"/>
    <w:rsid w:val="004A5B6E"/>
    <w:rsid w:val="004B3FE7"/>
    <w:rsid w:val="004D1D65"/>
    <w:rsid w:val="004D5566"/>
    <w:rsid w:val="004D57FB"/>
    <w:rsid w:val="004F1536"/>
    <w:rsid w:val="004F6679"/>
    <w:rsid w:val="00546D05"/>
    <w:rsid w:val="00552964"/>
    <w:rsid w:val="005D4059"/>
    <w:rsid w:val="005D7137"/>
    <w:rsid w:val="00601512"/>
    <w:rsid w:val="00606854"/>
    <w:rsid w:val="00617172"/>
    <w:rsid w:val="00620120"/>
    <w:rsid w:val="00624FB1"/>
    <w:rsid w:val="006447B6"/>
    <w:rsid w:val="006842B2"/>
    <w:rsid w:val="006D6284"/>
    <w:rsid w:val="00701E1B"/>
    <w:rsid w:val="00793472"/>
    <w:rsid w:val="007D480B"/>
    <w:rsid w:val="007F3947"/>
    <w:rsid w:val="00836DF5"/>
    <w:rsid w:val="00851A1F"/>
    <w:rsid w:val="008570D5"/>
    <w:rsid w:val="00885C8B"/>
    <w:rsid w:val="008879E9"/>
    <w:rsid w:val="008A60DE"/>
    <w:rsid w:val="008A6DDC"/>
    <w:rsid w:val="008D20E1"/>
    <w:rsid w:val="008E4336"/>
    <w:rsid w:val="00907FEF"/>
    <w:rsid w:val="0094583E"/>
    <w:rsid w:val="00962EB5"/>
    <w:rsid w:val="00972394"/>
    <w:rsid w:val="009856A4"/>
    <w:rsid w:val="0099404B"/>
    <w:rsid w:val="009A4E28"/>
    <w:rsid w:val="009C56C3"/>
    <w:rsid w:val="00A113B7"/>
    <w:rsid w:val="00A504C6"/>
    <w:rsid w:val="00A56847"/>
    <w:rsid w:val="00A67C08"/>
    <w:rsid w:val="00A93F85"/>
    <w:rsid w:val="00AA5148"/>
    <w:rsid w:val="00AC2CD1"/>
    <w:rsid w:val="00AD424E"/>
    <w:rsid w:val="00B14D74"/>
    <w:rsid w:val="00BE2815"/>
    <w:rsid w:val="00C53188"/>
    <w:rsid w:val="00C615C7"/>
    <w:rsid w:val="00C6201D"/>
    <w:rsid w:val="00C676F4"/>
    <w:rsid w:val="00CB4A1E"/>
    <w:rsid w:val="00CD53E9"/>
    <w:rsid w:val="00D31123"/>
    <w:rsid w:val="00D326A1"/>
    <w:rsid w:val="00D57061"/>
    <w:rsid w:val="00DA2A7D"/>
    <w:rsid w:val="00DB1079"/>
    <w:rsid w:val="00DB1596"/>
    <w:rsid w:val="00DE73B5"/>
    <w:rsid w:val="00DF4498"/>
    <w:rsid w:val="00E06B6E"/>
    <w:rsid w:val="00E433E5"/>
    <w:rsid w:val="00F15181"/>
    <w:rsid w:val="00F636F9"/>
    <w:rsid w:val="00F658F4"/>
    <w:rsid w:val="00F67A90"/>
    <w:rsid w:val="00F77FEE"/>
    <w:rsid w:val="00FA534E"/>
    <w:rsid w:val="00FF7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66F1DA"/>
  <w15:docId w15:val="{6E888FF4-76C7-412F-B283-ADA86871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4B"/>
  </w:style>
  <w:style w:type="paragraph" w:styleId="Heading1">
    <w:name w:val="heading 1"/>
    <w:basedOn w:val="Normal"/>
    <w:next w:val="Normal"/>
    <w:link w:val="Heading1Char"/>
    <w:uiPriority w:val="9"/>
    <w:qFormat/>
    <w:rsid w:val="00701E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2964"/>
    <w:rPr>
      <w:sz w:val="16"/>
      <w:szCs w:val="16"/>
    </w:rPr>
  </w:style>
  <w:style w:type="paragraph" w:styleId="CommentText">
    <w:name w:val="annotation text"/>
    <w:basedOn w:val="Normal"/>
    <w:link w:val="CommentTextChar"/>
    <w:uiPriority w:val="99"/>
    <w:semiHidden/>
    <w:unhideWhenUsed/>
    <w:rsid w:val="00552964"/>
    <w:pPr>
      <w:spacing w:after="100" w:afterAutospacing="1"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552964"/>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552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2964"/>
    <w:rPr>
      <w:rFonts w:ascii="Tahoma" w:hAnsi="Tahoma" w:cs="Tahoma"/>
      <w:sz w:val="16"/>
      <w:szCs w:val="16"/>
    </w:rPr>
  </w:style>
  <w:style w:type="paragraph" w:styleId="NoSpacing">
    <w:name w:val="No Spacing"/>
    <w:uiPriority w:val="1"/>
    <w:qFormat/>
    <w:rsid w:val="00DA2A7D"/>
    <w:pPr>
      <w:spacing w:after="0" w:line="240" w:lineRule="auto"/>
    </w:pPr>
    <w:rPr>
      <w:rFonts w:ascii="Times New Roman" w:hAnsi="Times New Roman"/>
      <w:sz w:val="24"/>
    </w:rPr>
  </w:style>
  <w:style w:type="paragraph" w:styleId="ListParagraph">
    <w:name w:val="List Paragraph"/>
    <w:basedOn w:val="Normal"/>
    <w:uiPriority w:val="34"/>
    <w:qFormat/>
    <w:rsid w:val="00087A36"/>
    <w:pPr>
      <w:ind w:left="720"/>
      <w:contextualSpacing/>
    </w:pPr>
  </w:style>
  <w:style w:type="paragraph" w:styleId="Header">
    <w:name w:val="header"/>
    <w:basedOn w:val="Normal"/>
    <w:link w:val="HeaderChar"/>
    <w:uiPriority w:val="99"/>
    <w:unhideWhenUsed/>
    <w:rsid w:val="00147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280"/>
  </w:style>
  <w:style w:type="paragraph" w:styleId="Footer">
    <w:name w:val="footer"/>
    <w:basedOn w:val="Normal"/>
    <w:link w:val="FooterChar"/>
    <w:uiPriority w:val="99"/>
    <w:unhideWhenUsed/>
    <w:rsid w:val="00147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280"/>
  </w:style>
  <w:style w:type="character" w:styleId="Hyperlink">
    <w:name w:val="Hyperlink"/>
    <w:basedOn w:val="DefaultParagraphFont"/>
    <w:uiPriority w:val="99"/>
    <w:unhideWhenUsed/>
    <w:rsid w:val="008A60DE"/>
    <w:rPr>
      <w:color w:val="0000FF" w:themeColor="hyperlink"/>
      <w:u w:val="single"/>
    </w:rPr>
  </w:style>
  <w:style w:type="character" w:styleId="UnresolvedMention">
    <w:name w:val="Unresolved Mention"/>
    <w:basedOn w:val="DefaultParagraphFont"/>
    <w:uiPriority w:val="99"/>
    <w:semiHidden/>
    <w:unhideWhenUsed/>
    <w:rsid w:val="008A60DE"/>
    <w:rPr>
      <w:color w:val="605E5C"/>
      <w:shd w:val="clear" w:color="auto" w:fill="E1DFDD"/>
    </w:rPr>
  </w:style>
  <w:style w:type="character" w:customStyle="1" w:styleId="Heading1Char">
    <w:name w:val="Heading 1 Char"/>
    <w:basedOn w:val="DefaultParagraphFont"/>
    <w:link w:val="Heading1"/>
    <w:uiPriority w:val="9"/>
    <w:rsid w:val="00701E1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83935">
      <w:bodyDiv w:val="1"/>
      <w:marLeft w:val="0"/>
      <w:marRight w:val="0"/>
      <w:marTop w:val="0"/>
      <w:marBottom w:val="0"/>
      <w:divBdr>
        <w:top w:val="none" w:sz="0" w:space="0" w:color="auto"/>
        <w:left w:val="none" w:sz="0" w:space="0" w:color="auto"/>
        <w:bottom w:val="none" w:sz="0" w:space="0" w:color="auto"/>
        <w:right w:val="none" w:sz="0" w:space="0" w:color="auto"/>
      </w:divBdr>
    </w:div>
    <w:div w:id="151139729">
      <w:bodyDiv w:val="1"/>
      <w:marLeft w:val="0"/>
      <w:marRight w:val="0"/>
      <w:marTop w:val="0"/>
      <w:marBottom w:val="0"/>
      <w:divBdr>
        <w:top w:val="none" w:sz="0" w:space="0" w:color="auto"/>
        <w:left w:val="none" w:sz="0" w:space="0" w:color="auto"/>
        <w:bottom w:val="none" w:sz="0" w:space="0" w:color="auto"/>
        <w:right w:val="none" w:sz="0" w:space="0" w:color="auto"/>
      </w:divBdr>
    </w:div>
    <w:div w:id="178085626">
      <w:bodyDiv w:val="1"/>
      <w:marLeft w:val="0"/>
      <w:marRight w:val="0"/>
      <w:marTop w:val="0"/>
      <w:marBottom w:val="0"/>
      <w:divBdr>
        <w:top w:val="none" w:sz="0" w:space="0" w:color="auto"/>
        <w:left w:val="none" w:sz="0" w:space="0" w:color="auto"/>
        <w:bottom w:val="none" w:sz="0" w:space="0" w:color="auto"/>
        <w:right w:val="none" w:sz="0" w:space="0" w:color="auto"/>
      </w:divBdr>
    </w:div>
    <w:div w:id="234049024">
      <w:bodyDiv w:val="1"/>
      <w:marLeft w:val="0"/>
      <w:marRight w:val="0"/>
      <w:marTop w:val="0"/>
      <w:marBottom w:val="0"/>
      <w:divBdr>
        <w:top w:val="none" w:sz="0" w:space="0" w:color="auto"/>
        <w:left w:val="none" w:sz="0" w:space="0" w:color="auto"/>
        <w:bottom w:val="none" w:sz="0" w:space="0" w:color="auto"/>
        <w:right w:val="none" w:sz="0" w:space="0" w:color="auto"/>
      </w:divBdr>
    </w:div>
    <w:div w:id="446896703">
      <w:bodyDiv w:val="1"/>
      <w:marLeft w:val="0"/>
      <w:marRight w:val="0"/>
      <w:marTop w:val="0"/>
      <w:marBottom w:val="0"/>
      <w:divBdr>
        <w:top w:val="none" w:sz="0" w:space="0" w:color="auto"/>
        <w:left w:val="none" w:sz="0" w:space="0" w:color="auto"/>
        <w:bottom w:val="none" w:sz="0" w:space="0" w:color="auto"/>
        <w:right w:val="none" w:sz="0" w:space="0" w:color="auto"/>
      </w:divBdr>
    </w:div>
    <w:div w:id="767431890">
      <w:bodyDiv w:val="1"/>
      <w:marLeft w:val="0"/>
      <w:marRight w:val="0"/>
      <w:marTop w:val="0"/>
      <w:marBottom w:val="0"/>
      <w:divBdr>
        <w:top w:val="none" w:sz="0" w:space="0" w:color="auto"/>
        <w:left w:val="none" w:sz="0" w:space="0" w:color="auto"/>
        <w:bottom w:val="none" w:sz="0" w:space="0" w:color="auto"/>
        <w:right w:val="none" w:sz="0" w:space="0" w:color="auto"/>
      </w:divBdr>
    </w:div>
    <w:div w:id="852307333">
      <w:bodyDiv w:val="1"/>
      <w:marLeft w:val="0"/>
      <w:marRight w:val="0"/>
      <w:marTop w:val="0"/>
      <w:marBottom w:val="0"/>
      <w:divBdr>
        <w:top w:val="none" w:sz="0" w:space="0" w:color="auto"/>
        <w:left w:val="none" w:sz="0" w:space="0" w:color="auto"/>
        <w:bottom w:val="none" w:sz="0" w:space="0" w:color="auto"/>
        <w:right w:val="none" w:sz="0" w:space="0" w:color="auto"/>
      </w:divBdr>
      <w:divsChild>
        <w:div w:id="1984506677">
          <w:marLeft w:val="0"/>
          <w:marRight w:val="0"/>
          <w:marTop w:val="0"/>
          <w:marBottom w:val="0"/>
          <w:divBdr>
            <w:top w:val="none" w:sz="0" w:space="0" w:color="auto"/>
            <w:left w:val="none" w:sz="0" w:space="0" w:color="auto"/>
            <w:bottom w:val="none" w:sz="0" w:space="0" w:color="auto"/>
            <w:right w:val="none" w:sz="0" w:space="0" w:color="auto"/>
          </w:divBdr>
        </w:div>
      </w:divsChild>
    </w:div>
    <w:div w:id="910430545">
      <w:bodyDiv w:val="1"/>
      <w:marLeft w:val="0"/>
      <w:marRight w:val="0"/>
      <w:marTop w:val="0"/>
      <w:marBottom w:val="0"/>
      <w:divBdr>
        <w:top w:val="none" w:sz="0" w:space="0" w:color="auto"/>
        <w:left w:val="none" w:sz="0" w:space="0" w:color="auto"/>
        <w:bottom w:val="none" w:sz="0" w:space="0" w:color="auto"/>
        <w:right w:val="none" w:sz="0" w:space="0" w:color="auto"/>
      </w:divBdr>
    </w:div>
    <w:div w:id="1018430663">
      <w:bodyDiv w:val="1"/>
      <w:marLeft w:val="0"/>
      <w:marRight w:val="0"/>
      <w:marTop w:val="0"/>
      <w:marBottom w:val="0"/>
      <w:divBdr>
        <w:top w:val="none" w:sz="0" w:space="0" w:color="auto"/>
        <w:left w:val="none" w:sz="0" w:space="0" w:color="auto"/>
        <w:bottom w:val="none" w:sz="0" w:space="0" w:color="auto"/>
        <w:right w:val="none" w:sz="0" w:space="0" w:color="auto"/>
      </w:divBdr>
    </w:div>
    <w:div w:id="1120300027">
      <w:bodyDiv w:val="1"/>
      <w:marLeft w:val="0"/>
      <w:marRight w:val="0"/>
      <w:marTop w:val="0"/>
      <w:marBottom w:val="0"/>
      <w:divBdr>
        <w:top w:val="none" w:sz="0" w:space="0" w:color="auto"/>
        <w:left w:val="none" w:sz="0" w:space="0" w:color="auto"/>
        <w:bottom w:val="none" w:sz="0" w:space="0" w:color="auto"/>
        <w:right w:val="none" w:sz="0" w:space="0" w:color="auto"/>
      </w:divBdr>
    </w:div>
    <w:div w:id="1151944836">
      <w:bodyDiv w:val="1"/>
      <w:marLeft w:val="0"/>
      <w:marRight w:val="0"/>
      <w:marTop w:val="0"/>
      <w:marBottom w:val="0"/>
      <w:divBdr>
        <w:top w:val="none" w:sz="0" w:space="0" w:color="auto"/>
        <w:left w:val="none" w:sz="0" w:space="0" w:color="auto"/>
        <w:bottom w:val="none" w:sz="0" w:space="0" w:color="auto"/>
        <w:right w:val="none" w:sz="0" w:space="0" w:color="auto"/>
      </w:divBdr>
    </w:div>
    <w:div w:id="1314606213">
      <w:bodyDiv w:val="1"/>
      <w:marLeft w:val="0"/>
      <w:marRight w:val="0"/>
      <w:marTop w:val="0"/>
      <w:marBottom w:val="0"/>
      <w:divBdr>
        <w:top w:val="none" w:sz="0" w:space="0" w:color="auto"/>
        <w:left w:val="none" w:sz="0" w:space="0" w:color="auto"/>
        <w:bottom w:val="none" w:sz="0" w:space="0" w:color="auto"/>
        <w:right w:val="none" w:sz="0" w:space="0" w:color="auto"/>
      </w:divBdr>
    </w:div>
    <w:div w:id="1443454727">
      <w:bodyDiv w:val="1"/>
      <w:marLeft w:val="0"/>
      <w:marRight w:val="0"/>
      <w:marTop w:val="0"/>
      <w:marBottom w:val="0"/>
      <w:divBdr>
        <w:top w:val="none" w:sz="0" w:space="0" w:color="auto"/>
        <w:left w:val="none" w:sz="0" w:space="0" w:color="auto"/>
        <w:bottom w:val="none" w:sz="0" w:space="0" w:color="auto"/>
        <w:right w:val="none" w:sz="0" w:space="0" w:color="auto"/>
      </w:divBdr>
      <w:divsChild>
        <w:div w:id="796531669">
          <w:marLeft w:val="0"/>
          <w:marRight w:val="0"/>
          <w:marTop w:val="0"/>
          <w:marBottom w:val="0"/>
          <w:divBdr>
            <w:top w:val="none" w:sz="0" w:space="0" w:color="auto"/>
            <w:left w:val="none" w:sz="0" w:space="0" w:color="auto"/>
            <w:bottom w:val="none" w:sz="0" w:space="0" w:color="auto"/>
            <w:right w:val="none" w:sz="0" w:space="0" w:color="auto"/>
          </w:divBdr>
        </w:div>
      </w:divsChild>
    </w:div>
    <w:div w:id="1595750447">
      <w:bodyDiv w:val="1"/>
      <w:marLeft w:val="0"/>
      <w:marRight w:val="0"/>
      <w:marTop w:val="0"/>
      <w:marBottom w:val="0"/>
      <w:divBdr>
        <w:top w:val="none" w:sz="0" w:space="0" w:color="auto"/>
        <w:left w:val="none" w:sz="0" w:space="0" w:color="auto"/>
        <w:bottom w:val="none" w:sz="0" w:space="0" w:color="auto"/>
        <w:right w:val="none" w:sz="0" w:space="0" w:color="auto"/>
      </w:divBdr>
    </w:div>
    <w:div w:id="1650984535">
      <w:bodyDiv w:val="1"/>
      <w:marLeft w:val="0"/>
      <w:marRight w:val="0"/>
      <w:marTop w:val="0"/>
      <w:marBottom w:val="0"/>
      <w:divBdr>
        <w:top w:val="none" w:sz="0" w:space="0" w:color="auto"/>
        <w:left w:val="none" w:sz="0" w:space="0" w:color="auto"/>
        <w:bottom w:val="none" w:sz="0" w:space="0" w:color="auto"/>
        <w:right w:val="none" w:sz="0" w:space="0" w:color="auto"/>
      </w:divBdr>
      <w:divsChild>
        <w:div w:id="187187564">
          <w:marLeft w:val="0"/>
          <w:marRight w:val="0"/>
          <w:marTop w:val="0"/>
          <w:marBottom w:val="0"/>
          <w:divBdr>
            <w:top w:val="none" w:sz="0" w:space="0" w:color="auto"/>
            <w:left w:val="none" w:sz="0" w:space="0" w:color="auto"/>
            <w:bottom w:val="none" w:sz="0" w:space="0" w:color="auto"/>
            <w:right w:val="none" w:sz="0" w:space="0" w:color="auto"/>
          </w:divBdr>
        </w:div>
      </w:divsChild>
    </w:div>
    <w:div w:id="1718236845">
      <w:bodyDiv w:val="1"/>
      <w:marLeft w:val="0"/>
      <w:marRight w:val="0"/>
      <w:marTop w:val="0"/>
      <w:marBottom w:val="0"/>
      <w:divBdr>
        <w:top w:val="none" w:sz="0" w:space="0" w:color="auto"/>
        <w:left w:val="none" w:sz="0" w:space="0" w:color="auto"/>
        <w:bottom w:val="none" w:sz="0" w:space="0" w:color="auto"/>
        <w:right w:val="none" w:sz="0" w:space="0" w:color="auto"/>
      </w:divBdr>
      <w:divsChild>
        <w:div w:id="110513513">
          <w:marLeft w:val="0"/>
          <w:marRight w:val="0"/>
          <w:marTop w:val="0"/>
          <w:marBottom w:val="0"/>
          <w:divBdr>
            <w:top w:val="none" w:sz="0" w:space="0" w:color="auto"/>
            <w:left w:val="none" w:sz="0" w:space="0" w:color="auto"/>
            <w:bottom w:val="none" w:sz="0" w:space="0" w:color="auto"/>
            <w:right w:val="none" w:sz="0" w:space="0" w:color="auto"/>
          </w:divBdr>
        </w:div>
      </w:divsChild>
    </w:div>
    <w:div w:id="1835955584">
      <w:bodyDiv w:val="1"/>
      <w:marLeft w:val="0"/>
      <w:marRight w:val="0"/>
      <w:marTop w:val="0"/>
      <w:marBottom w:val="0"/>
      <w:divBdr>
        <w:top w:val="none" w:sz="0" w:space="0" w:color="auto"/>
        <w:left w:val="none" w:sz="0" w:space="0" w:color="auto"/>
        <w:bottom w:val="none" w:sz="0" w:space="0" w:color="auto"/>
        <w:right w:val="none" w:sz="0" w:space="0" w:color="auto"/>
      </w:divBdr>
    </w:div>
    <w:div w:id="1855462092">
      <w:bodyDiv w:val="1"/>
      <w:marLeft w:val="0"/>
      <w:marRight w:val="0"/>
      <w:marTop w:val="0"/>
      <w:marBottom w:val="0"/>
      <w:divBdr>
        <w:top w:val="none" w:sz="0" w:space="0" w:color="auto"/>
        <w:left w:val="none" w:sz="0" w:space="0" w:color="auto"/>
        <w:bottom w:val="none" w:sz="0" w:space="0" w:color="auto"/>
        <w:right w:val="none" w:sz="0" w:space="0" w:color="auto"/>
      </w:divBdr>
    </w:div>
    <w:div w:id="18869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63247/" TargetMode="External"/><Relationship Id="rId13" Type="http://schemas.openxmlformats.org/officeDocument/2006/relationships/hyperlink" Target="https://doi.org/10.1007/s10995-016-2165-z" TargetMode="External"/><Relationship Id="rId3" Type="http://schemas.openxmlformats.org/officeDocument/2006/relationships/settings" Target="settings.xml"/><Relationship Id="rId7" Type="http://schemas.openxmlformats.org/officeDocument/2006/relationships/hyperlink" Target="https://pubmed.ncbi.nlm.nih.gov/33085394/" TargetMode="External"/><Relationship Id="rId12" Type="http://schemas.openxmlformats.org/officeDocument/2006/relationships/hyperlink" Target="https://www.ncbi.nlm.nih.gov/pmc/articles/PMC633518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36/archdischild-2017-31417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cbi.nlm.nih.gov/pmc/articles/PMC7251506/" TargetMode="External"/><Relationship Id="rId4" Type="http://schemas.openxmlformats.org/officeDocument/2006/relationships/webSettings" Target="webSettings.xml"/><Relationship Id="rId9" Type="http://schemas.openxmlformats.org/officeDocument/2006/relationships/hyperlink" Target="https://doi.org/10.1001/jamapediatrics.2020.1097" TargetMode="External"/><Relationship Id="rId14" Type="http://schemas.openxmlformats.org/officeDocument/2006/relationships/hyperlink" Target="https://www.ncbi.nlm.nih.gov/pmc/articles/PMC5728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9</Pages>
  <Words>2810</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Hiravi</dc:creator>
  <cp:lastModifiedBy>Dana Langston</cp:lastModifiedBy>
  <cp:revision>7</cp:revision>
  <dcterms:created xsi:type="dcterms:W3CDTF">2024-11-22T19:57:00Z</dcterms:created>
  <dcterms:modified xsi:type="dcterms:W3CDTF">2024-12-12T20:25:00Z</dcterms:modified>
</cp:coreProperties>
</file>