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6A844" w14:textId="3238D2A8" w:rsidR="0029712D" w:rsidRPr="007F3947" w:rsidRDefault="0046361A" w:rsidP="007F3947">
      <w:pPr>
        <w:widowControl w:val="0"/>
        <w:autoSpaceDE w:val="0"/>
        <w:autoSpaceDN w:val="0"/>
        <w:adjustRightInd w:val="0"/>
        <w:spacing w:after="0" w:afterAutospacing="1" w:line="240" w:lineRule="auto"/>
        <w:rPr>
          <w:rFonts w:ascii="Times New Roman" w:eastAsia="Calibri" w:hAnsi="Times New Roman" w:cs="Times New Roman"/>
          <w:color w:val="000000"/>
          <w:sz w:val="24"/>
          <w:szCs w:val="24"/>
        </w:rPr>
      </w:pPr>
      <w:r w:rsidRPr="0046361A">
        <w:rPr>
          <w:rFonts w:ascii="Times New Roman" w:eastAsia="Calibri" w:hAnsi="Times New Roman" w:cs="Times New Roman"/>
          <w:sz w:val="24"/>
          <w:szCs w:val="24"/>
        </w:rPr>
        <w:fldChar w:fldCharType="begin"/>
      </w:r>
      <w:r w:rsidRPr="0046361A">
        <w:rPr>
          <w:rFonts w:ascii="Times New Roman" w:eastAsia="Calibri" w:hAnsi="Times New Roman" w:cs="Times New Roman"/>
          <w:sz w:val="24"/>
          <w:szCs w:val="24"/>
        </w:rPr>
        <w:instrText xml:space="preserve"> MERGEFIELD TableStart:PATIENTINFO </w:instrText>
      </w:r>
      <w:r w:rsidRPr="0046361A">
        <w:rPr>
          <w:rFonts w:ascii="Times New Roman" w:eastAsia="Calibri" w:hAnsi="Times New Roman" w:cs="Times New Roman"/>
          <w:sz w:val="24"/>
          <w:szCs w:val="24"/>
        </w:rPr>
        <w:fldChar w:fldCharType="separate"/>
      </w:r>
      <w:r w:rsidRPr="0046361A">
        <w:rPr>
          <w:rFonts w:ascii="Times New Roman" w:eastAsia="Calibri" w:hAnsi="Times New Roman" w:cs="Times New Roman"/>
          <w:noProof/>
          <w:sz w:val="24"/>
          <w:szCs w:val="24"/>
        </w:rPr>
        <w:t>«TableStart:PATIENTINFO»</w:t>
      </w:r>
      <w:r w:rsidRPr="0046361A">
        <w:rPr>
          <w:rFonts w:ascii="Times New Roman" w:eastAsia="Calibri" w:hAnsi="Times New Roman" w:cs="Times New Roman"/>
          <w:sz w:val="24"/>
          <w:szCs w:val="24"/>
        </w:rPr>
        <w:fldChar w:fldCharType="end"/>
      </w:r>
    </w:p>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6324"/>
      </w:tblGrid>
      <w:tr w:rsidR="007F3947" w:rsidRPr="007F3947" w14:paraId="4DA2F68D" w14:textId="77777777" w:rsidTr="00836DF5">
        <w:trPr>
          <w:trHeight w:val="288"/>
        </w:trPr>
        <w:tc>
          <w:tcPr>
            <w:tcW w:w="1663" w:type="pct"/>
            <w:shd w:val="clear" w:color="auto" w:fill="D9D9D9"/>
            <w:vAlign w:val="center"/>
          </w:tcPr>
          <w:p w14:paraId="330D5A3D" w14:textId="77777777" w:rsidR="007F3947" w:rsidRPr="007F3947" w:rsidRDefault="007F3947" w:rsidP="007F3947">
            <w:pPr>
              <w:spacing w:after="0" w:line="240" w:lineRule="auto"/>
              <w:rPr>
                <w:rFonts w:ascii="Times New Roman" w:eastAsia="Calibri" w:hAnsi="Times New Roman" w:cs="Times New Roman"/>
                <w:b/>
                <w:sz w:val="24"/>
              </w:rPr>
            </w:pPr>
            <w:bookmarkStart w:id="0" w:name="OLE_LINK1"/>
            <w:bookmarkStart w:id="1" w:name="OLE_LINK2"/>
            <w:r w:rsidRPr="007F3947">
              <w:rPr>
                <w:rFonts w:ascii="Times New Roman" w:eastAsia="Calibri" w:hAnsi="Times New Roman" w:cs="Times New Roman"/>
                <w:b/>
                <w:sz w:val="24"/>
              </w:rPr>
              <w:t>Beneficiary Name</w:t>
            </w:r>
          </w:p>
        </w:tc>
        <w:tc>
          <w:tcPr>
            <w:tcW w:w="3337" w:type="pct"/>
            <w:shd w:val="clear" w:color="auto" w:fill="auto"/>
            <w:vAlign w:val="center"/>
          </w:tcPr>
          <w:p w14:paraId="224BB672" w14:textId="77777777" w:rsidR="007F3947" w:rsidRPr="007F3947" w:rsidRDefault="007F3947" w:rsidP="007F3947">
            <w:pPr>
              <w:spacing w:after="0" w:line="240" w:lineRule="auto"/>
              <w:rPr>
                <w:rFonts w:ascii="Times New Roman" w:eastAsia="Calibri" w:hAnsi="Times New Roman" w:cs="Times New Roman"/>
                <w:sz w:val="24"/>
              </w:rPr>
            </w:pPr>
            <w:r w:rsidRPr="007F3947">
              <w:rPr>
                <w:rFonts w:ascii="Times New Roman" w:eastAsia="Calibri" w:hAnsi="Times New Roman" w:cs="Times New Roman"/>
                <w:sz w:val="24"/>
              </w:rPr>
              <w:fldChar w:fldCharType="begin"/>
            </w:r>
            <w:r w:rsidRPr="007F3947">
              <w:rPr>
                <w:rFonts w:ascii="Times New Roman" w:eastAsia="Calibri" w:hAnsi="Times New Roman" w:cs="Times New Roman"/>
                <w:sz w:val="24"/>
              </w:rPr>
              <w:instrText xml:space="preserve"> MERGEFIELD </w:instrText>
            </w:r>
            <w:r w:rsidRPr="007F3947">
              <w:rPr>
                <w:rFonts w:ascii="Times New Roman" w:eastAsia="Calibri" w:hAnsi="Times New Roman" w:cs="Times New Roman"/>
                <w:bCs/>
                <w:sz w:val="24"/>
                <w:lang w:bidi="en-US"/>
              </w:rPr>
              <w:instrText>PAT_Full_Name</w:instrText>
            </w:r>
            <w:r w:rsidRPr="007F3947">
              <w:rPr>
                <w:rFonts w:ascii="Times New Roman" w:eastAsia="Calibri" w:hAnsi="Times New Roman" w:cs="Times New Roman"/>
                <w:sz w:val="24"/>
              </w:rPr>
              <w:instrText xml:space="preserve"> </w:instrText>
            </w:r>
            <w:r w:rsidRPr="007F3947">
              <w:rPr>
                <w:rFonts w:ascii="Times New Roman" w:eastAsia="Calibri" w:hAnsi="Times New Roman" w:cs="Times New Roman"/>
                <w:sz w:val="24"/>
              </w:rPr>
              <w:fldChar w:fldCharType="separate"/>
            </w:r>
            <w:r w:rsidRPr="007F3947">
              <w:rPr>
                <w:rFonts w:ascii="Times New Roman" w:eastAsia="Calibri" w:hAnsi="Times New Roman" w:cs="Times New Roman"/>
                <w:noProof/>
                <w:sz w:val="24"/>
              </w:rPr>
              <w:t>«PAT_Full_Name»</w:t>
            </w:r>
            <w:r w:rsidRPr="007F3947">
              <w:rPr>
                <w:rFonts w:ascii="Times New Roman" w:eastAsia="Calibri" w:hAnsi="Times New Roman" w:cs="Times New Roman"/>
                <w:sz w:val="24"/>
              </w:rPr>
              <w:fldChar w:fldCharType="end"/>
            </w:r>
          </w:p>
        </w:tc>
      </w:tr>
      <w:tr w:rsidR="007F3947" w:rsidRPr="007F3947" w14:paraId="250E1EB4" w14:textId="77777777" w:rsidTr="00836DF5">
        <w:trPr>
          <w:trHeight w:val="288"/>
        </w:trPr>
        <w:tc>
          <w:tcPr>
            <w:tcW w:w="1663" w:type="pct"/>
            <w:shd w:val="clear" w:color="auto" w:fill="D9D9D9"/>
            <w:vAlign w:val="center"/>
          </w:tcPr>
          <w:p w14:paraId="7FD94F78" w14:textId="77777777" w:rsidR="007F3947" w:rsidRPr="007F3947" w:rsidRDefault="007F3947" w:rsidP="007F3947">
            <w:pPr>
              <w:spacing w:after="0" w:line="240" w:lineRule="auto"/>
              <w:rPr>
                <w:rFonts w:ascii="Times New Roman" w:eastAsia="Calibri" w:hAnsi="Times New Roman" w:cs="Times New Roman"/>
                <w:b/>
                <w:sz w:val="24"/>
              </w:rPr>
            </w:pPr>
            <w:r w:rsidRPr="007F3947">
              <w:rPr>
                <w:rFonts w:ascii="Times New Roman" w:eastAsia="Calibri" w:hAnsi="Times New Roman" w:cs="Times New Roman"/>
                <w:b/>
                <w:sz w:val="24"/>
              </w:rPr>
              <w:t xml:space="preserve">Member ID or </w:t>
            </w:r>
          </w:p>
          <w:p w14:paraId="4ECA9D0A" w14:textId="77777777" w:rsidR="007F3947" w:rsidRPr="007F3947" w:rsidRDefault="00F93BA1" w:rsidP="007F3947">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MBI</w:t>
            </w:r>
            <w:r w:rsidR="007F3947" w:rsidRPr="007F3947">
              <w:rPr>
                <w:rFonts w:ascii="Times New Roman" w:eastAsia="Calibri" w:hAnsi="Times New Roman" w:cs="Times New Roman"/>
                <w:b/>
                <w:sz w:val="24"/>
              </w:rPr>
              <w:t xml:space="preserve"> Number</w:t>
            </w:r>
          </w:p>
        </w:tc>
        <w:tc>
          <w:tcPr>
            <w:tcW w:w="3337" w:type="pct"/>
            <w:shd w:val="clear" w:color="auto" w:fill="auto"/>
            <w:vAlign w:val="center"/>
          </w:tcPr>
          <w:p w14:paraId="4DF75895" w14:textId="77777777" w:rsidR="007F3947" w:rsidRPr="007F3947" w:rsidRDefault="007F3947" w:rsidP="007F3947">
            <w:pPr>
              <w:spacing w:after="0" w:line="240" w:lineRule="auto"/>
              <w:rPr>
                <w:rFonts w:ascii="Times New Roman" w:eastAsia="Calibri" w:hAnsi="Times New Roman" w:cs="Times New Roman"/>
                <w:sz w:val="24"/>
              </w:rPr>
            </w:pPr>
            <w:r w:rsidRPr="007F3947">
              <w:rPr>
                <w:rFonts w:ascii="Times New Roman" w:eastAsia="Calibri" w:hAnsi="Times New Roman" w:cs="Times New Roman"/>
                <w:sz w:val="24"/>
              </w:rPr>
              <w:fldChar w:fldCharType="begin"/>
            </w:r>
            <w:r w:rsidRPr="007F3947">
              <w:rPr>
                <w:rFonts w:ascii="Times New Roman" w:eastAsia="Calibri" w:hAnsi="Times New Roman" w:cs="Times New Roman"/>
                <w:sz w:val="24"/>
              </w:rPr>
              <w:instrText xml:space="preserve"> MERGEFIELD MEMBER_ID </w:instrText>
            </w:r>
            <w:r w:rsidRPr="007F3947">
              <w:rPr>
                <w:rFonts w:ascii="Times New Roman" w:eastAsia="Calibri" w:hAnsi="Times New Roman" w:cs="Times New Roman"/>
                <w:sz w:val="24"/>
              </w:rPr>
              <w:fldChar w:fldCharType="separate"/>
            </w:r>
            <w:r w:rsidRPr="007F3947">
              <w:rPr>
                <w:rFonts w:ascii="Times New Roman" w:eastAsia="Calibri" w:hAnsi="Times New Roman" w:cs="Times New Roman"/>
                <w:noProof/>
                <w:sz w:val="24"/>
              </w:rPr>
              <w:t>«MEMBER_ID»</w:t>
            </w:r>
            <w:r w:rsidRPr="007F3947">
              <w:rPr>
                <w:rFonts w:ascii="Times New Roman" w:eastAsia="Calibri" w:hAnsi="Times New Roman" w:cs="Times New Roman"/>
                <w:noProof/>
                <w:sz w:val="24"/>
              </w:rPr>
              <w:fldChar w:fldCharType="end"/>
            </w:r>
          </w:p>
        </w:tc>
      </w:tr>
      <w:tr w:rsidR="007F3947" w:rsidRPr="007F3947" w14:paraId="489B55C6" w14:textId="77777777" w:rsidTr="00836DF5">
        <w:trPr>
          <w:trHeight w:val="288"/>
        </w:trPr>
        <w:tc>
          <w:tcPr>
            <w:tcW w:w="1663" w:type="pct"/>
            <w:shd w:val="clear" w:color="auto" w:fill="D9D9D9"/>
            <w:vAlign w:val="center"/>
          </w:tcPr>
          <w:p w14:paraId="29BC9950" w14:textId="77777777" w:rsidR="007F3947" w:rsidRPr="007F3947" w:rsidRDefault="007F3947" w:rsidP="007F3947">
            <w:pPr>
              <w:spacing w:after="0" w:line="240" w:lineRule="auto"/>
              <w:rPr>
                <w:rFonts w:ascii="Times New Roman" w:eastAsia="Calibri" w:hAnsi="Times New Roman" w:cs="Times New Roman"/>
                <w:b/>
                <w:sz w:val="24"/>
              </w:rPr>
            </w:pPr>
            <w:r w:rsidRPr="007F3947">
              <w:rPr>
                <w:rFonts w:ascii="Times New Roman" w:eastAsia="Calibri" w:hAnsi="Times New Roman" w:cs="Times New Roman"/>
                <w:b/>
                <w:sz w:val="24"/>
              </w:rPr>
              <w:t>Claim Dates of Service</w:t>
            </w:r>
          </w:p>
        </w:tc>
        <w:tc>
          <w:tcPr>
            <w:tcW w:w="3337" w:type="pct"/>
            <w:shd w:val="clear" w:color="auto" w:fill="auto"/>
            <w:vAlign w:val="center"/>
          </w:tcPr>
          <w:p w14:paraId="43525533" w14:textId="77777777" w:rsidR="007F3947" w:rsidRPr="007F3947" w:rsidRDefault="007F3947" w:rsidP="007F3947">
            <w:pPr>
              <w:spacing w:after="0" w:line="240" w:lineRule="auto"/>
              <w:rPr>
                <w:rFonts w:ascii="Times New Roman" w:eastAsia="Calibri" w:hAnsi="Times New Roman" w:cs="Times New Roman"/>
                <w:i/>
                <w:sz w:val="24"/>
              </w:rPr>
            </w:pPr>
            <w:r w:rsidRPr="007F3947">
              <w:rPr>
                <w:rFonts w:ascii="Times New Roman" w:eastAsia="Calibri" w:hAnsi="Times New Roman" w:cs="Times New Roman"/>
                <w:sz w:val="24"/>
              </w:rPr>
              <w:fldChar w:fldCharType="begin"/>
            </w:r>
            <w:r w:rsidRPr="007F3947">
              <w:rPr>
                <w:rFonts w:ascii="Times New Roman" w:eastAsia="Calibri" w:hAnsi="Times New Roman" w:cs="Times New Roman"/>
                <w:sz w:val="24"/>
              </w:rPr>
              <w:instrText xml:space="preserve"> MERGEFIELD Svc_From </w:instrText>
            </w:r>
            <w:r w:rsidRPr="007F3947">
              <w:rPr>
                <w:rFonts w:ascii="Times New Roman" w:eastAsia="Calibri" w:hAnsi="Times New Roman" w:cs="Times New Roman"/>
                <w:sz w:val="24"/>
              </w:rPr>
              <w:fldChar w:fldCharType="separate"/>
            </w:r>
            <w:r w:rsidRPr="007F3947">
              <w:rPr>
                <w:rFonts w:ascii="Times New Roman" w:eastAsia="Calibri" w:hAnsi="Times New Roman" w:cs="Times New Roman"/>
                <w:noProof/>
                <w:sz w:val="24"/>
              </w:rPr>
              <w:t>«Svc_From»</w:t>
            </w:r>
            <w:r w:rsidRPr="007F3947">
              <w:rPr>
                <w:rFonts w:ascii="Times New Roman" w:eastAsia="Calibri" w:hAnsi="Times New Roman" w:cs="Times New Roman"/>
                <w:noProof/>
                <w:sz w:val="24"/>
              </w:rPr>
              <w:fldChar w:fldCharType="end"/>
            </w:r>
            <w:r w:rsidRPr="007F3947">
              <w:rPr>
                <w:rFonts w:ascii="Times New Roman" w:eastAsia="Calibri" w:hAnsi="Times New Roman" w:cs="Times New Roman"/>
                <w:sz w:val="24"/>
              </w:rPr>
              <w:t xml:space="preserve"> - </w:t>
            </w:r>
            <w:r w:rsidRPr="007F3947">
              <w:rPr>
                <w:rFonts w:ascii="Times New Roman" w:eastAsia="Calibri" w:hAnsi="Times New Roman" w:cs="Times New Roman"/>
                <w:sz w:val="24"/>
              </w:rPr>
              <w:fldChar w:fldCharType="begin"/>
            </w:r>
            <w:r w:rsidRPr="007F3947">
              <w:rPr>
                <w:rFonts w:ascii="Times New Roman" w:eastAsia="Calibri" w:hAnsi="Times New Roman" w:cs="Times New Roman"/>
                <w:sz w:val="24"/>
              </w:rPr>
              <w:instrText xml:space="preserve"> MERGEFIELD Svc_To </w:instrText>
            </w:r>
            <w:r w:rsidRPr="007F3947">
              <w:rPr>
                <w:rFonts w:ascii="Times New Roman" w:eastAsia="Calibri" w:hAnsi="Times New Roman" w:cs="Times New Roman"/>
                <w:sz w:val="24"/>
              </w:rPr>
              <w:fldChar w:fldCharType="separate"/>
            </w:r>
            <w:r w:rsidRPr="007F3947">
              <w:rPr>
                <w:rFonts w:ascii="Times New Roman" w:eastAsia="Calibri" w:hAnsi="Times New Roman" w:cs="Times New Roman"/>
                <w:noProof/>
                <w:sz w:val="24"/>
              </w:rPr>
              <w:t>«Svc_To»</w:t>
            </w:r>
            <w:r w:rsidRPr="007F3947">
              <w:rPr>
                <w:rFonts w:ascii="Times New Roman" w:eastAsia="Calibri" w:hAnsi="Times New Roman" w:cs="Times New Roman"/>
                <w:noProof/>
                <w:sz w:val="24"/>
              </w:rPr>
              <w:fldChar w:fldCharType="end"/>
            </w:r>
          </w:p>
        </w:tc>
      </w:tr>
      <w:tr w:rsidR="007F3947" w:rsidRPr="007F3947" w14:paraId="00096E7C" w14:textId="77777777" w:rsidTr="00836DF5">
        <w:trPr>
          <w:trHeight w:val="288"/>
        </w:trPr>
        <w:tc>
          <w:tcPr>
            <w:tcW w:w="1663" w:type="pct"/>
            <w:shd w:val="clear" w:color="auto" w:fill="D9D9D9"/>
            <w:vAlign w:val="center"/>
          </w:tcPr>
          <w:p w14:paraId="0A367B61" w14:textId="77777777" w:rsidR="007F3947" w:rsidRPr="007F3947" w:rsidRDefault="007F3947" w:rsidP="007F3947">
            <w:pPr>
              <w:spacing w:after="0" w:line="240" w:lineRule="auto"/>
              <w:rPr>
                <w:rFonts w:ascii="Times New Roman" w:eastAsia="Calibri" w:hAnsi="Times New Roman" w:cs="Times New Roman"/>
                <w:b/>
                <w:sz w:val="24"/>
              </w:rPr>
            </w:pPr>
            <w:r w:rsidRPr="007F3947">
              <w:rPr>
                <w:rFonts w:ascii="Times New Roman" w:eastAsia="Calibri" w:hAnsi="Times New Roman" w:cs="Times New Roman"/>
                <w:b/>
                <w:sz w:val="24"/>
              </w:rPr>
              <w:t>Reason(s) for Denial</w:t>
            </w:r>
          </w:p>
        </w:tc>
        <w:tc>
          <w:tcPr>
            <w:tcW w:w="3337" w:type="pct"/>
            <w:shd w:val="clear" w:color="auto" w:fill="auto"/>
            <w:vAlign w:val="center"/>
          </w:tcPr>
          <w:p w14:paraId="6727E1AC" w14:textId="77777777" w:rsidR="007F3947" w:rsidRPr="007F3947" w:rsidRDefault="007F3947" w:rsidP="007F3947">
            <w:pPr>
              <w:spacing w:after="0" w:line="240" w:lineRule="auto"/>
              <w:rPr>
                <w:rFonts w:ascii="Times New Roman" w:eastAsia="Calibri" w:hAnsi="Times New Roman" w:cs="Times New Roman"/>
                <w:sz w:val="24"/>
              </w:rPr>
            </w:pPr>
            <w:r w:rsidRPr="007F3947">
              <w:rPr>
                <w:rFonts w:ascii="Times New Roman" w:eastAsia="Calibri" w:hAnsi="Times New Roman" w:cs="Times New Roman"/>
                <w:sz w:val="24"/>
              </w:rPr>
              <w:t xml:space="preserve">Allegation: Lack of clinical documentation to support the inclusion of </w:t>
            </w:r>
            <w:r w:rsidRPr="007F3947">
              <w:rPr>
                <w:rFonts w:ascii="Times New Roman" w:eastAsia="Calibri" w:hAnsi="Times New Roman" w:cs="Times New Roman"/>
                <w:i/>
                <w:color w:val="FF0000"/>
                <w:sz w:val="24"/>
              </w:rPr>
              <w:t>specify diagnosis</w:t>
            </w:r>
            <w:r w:rsidRPr="007F3947">
              <w:rPr>
                <w:rFonts w:ascii="Times New Roman" w:eastAsia="Calibri" w:hAnsi="Times New Roman" w:cs="Times New Roman"/>
                <w:sz w:val="24"/>
              </w:rPr>
              <w:t xml:space="preserve"> as a valid diagnosis on the claim</w:t>
            </w:r>
          </w:p>
        </w:tc>
      </w:tr>
      <w:tr w:rsidR="007F3947" w:rsidRPr="007F3947" w14:paraId="69F1B24F" w14:textId="77777777" w:rsidTr="00836DF5">
        <w:trPr>
          <w:trHeight w:val="288"/>
        </w:trPr>
        <w:tc>
          <w:tcPr>
            <w:tcW w:w="1663" w:type="pct"/>
            <w:shd w:val="clear" w:color="auto" w:fill="D9D9D9"/>
          </w:tcPr>
          <w:p w14:paraId="04E04D36" w14:textId="77777777" w:rsidR="007F3947" w:rsidRPr="007F3947" w:rsidRDefault="007F3947" w:rsidP="007F3947">
            <w:pPr>
              <w:spacing w:after="0" w:line="240" w:lineRule="auto"/>
              <w:rPr>
                <w:rFonts w:ascii="Times New Roman" w:eastAsia="Calibri" w:hAnsi="Times New Roman" w:cs="Times New Roman"/>
                <w:b/>
                <w:sz w:val="24"/>
              </w:rPr>
            </w:pPr>
            <w:r w:rsidRPr="007F3947">
              <w:rPr>
                <w:rFonts w:ascii="Times New Roman" w:eastAsia="Calibri" w:hAnsi="Times New Roman" w:cs="Times New Roman"/>
                <w:b/>
                <w:sz w:val="24"/>
              </w:rPr>
              <w:t>Reimbursement Change</w:t>
            </w:r>
          </w:p>
        </w:tc>
        <w:tc>
          <w:tcPr>
            <w:tcW w:w="3337" w:type="pct"/>
            <w:shd w:val="clear" w:color="auto" w:fill="auto"/>
          </w:tcPr>
          <w:p w14:paraId="2BFED302" w14:textId="77777777" w:rsidR="007F3947" w:rsidRPr="007F3947" w:rsidRDefault="007F3947" w:rsidP="007F3947">
            <w:pPr>
              <w:spacing w:after="0" w:line="240" w:lineRule="auto"/>
              <w:rPr>
                <w:rFonts w:ascii="Times New Roman" w:eastAsia="Calibri" w:hAnsi="Times New Roman" w:cs="Times New Roman"/>
                <w:i/>
                <w:sz w:val="24"/>
              </w:rPr>
            </w:pPr>
            <w:r w:rsidRPr="007F3947">
              <w:rPr>
                <w:rFonts w:ascii="Times New Roman" w:eastAsia="Calibri" w:hAnsi="Times New Roman" w:cs="Times New Roman"/>
                <w:sz w:val="24"/>
              </w:rPr>
              <w:t xml:space="preserve">Reassignment of DRG </w:t>
            </w:r>
            <w:r w:rsidRPr="007F3947">
              <w:rPr>
                <w:rFonts w:ascii="Times New Roman" w:eastAsia="Calibri" w:hAnsi="Times New Roman" w:cs="Times New Roman"/>
                <w:i/>
                <w:color w:val="FF0000"/>
                <w:sz w:val="24"/>
              </w:rPr>
              <w:t>specify original DRG number and description</w:t>
            </w:r>
            <w:r w:rsidRPr="007F3947">
              <w:rPr>
                <w:rFonts w:ascii="Times New Roman" w:eastAsia="Calibri" w:hAnsi="Times New Roman" w:cs="Times New Roman"/>
                <w:sz w:val="24"/>
              </w:rPr>
              <w:t xml:space="preserve"> to DRG </w:t>
            </w:r>
            <w:r w:rsidRPr="007F3947">
              <w:rPr>
                <w:rFonts w:ascii="Times New Roman" w:eastAsia="Calibri" w:hAnsi="Times New Roman" w:cs="Times New Roman"/>
                <w:i/>
                <w:color w:val="FF0000"/>
                <w:sz w:val="24"/>
              </w:rPr>
              <w:t>specify new DRG number and description</w:t>
            </w:r>
          </w:p>
        </w:tc>
      </w:tr>
      <w:tr w:rsidR="007F3947" w:rsidRPr="007F3947" w14:paraId="5FC1F734" w14:textId="77777777" w:rsidTr="00836DF5">
        <w:trPr>
          <w:trHeight w:val="288"/>
        </w:trPr>
        <w:tc>
          <w:tcPr>
            <w:tcW w:w="1663" w:type="pct"/>
            <w:shd w:val="clear" w:color="auto" w:fill="D9D9D9"/>
          </w:tcPr>
          <w:p w14:paraId="78526C5E" w14:textId="77777777" w:rsidR="007F3947" w:rsidRPr="007F3947" w:rsidRDefault="007F3947" w:rsidP="007F3947">
            <w:pPr>
              <w:spacing w:after="0" w:line="240" w:lineRule="auto"/>
              <w:rPr>
                <w:rFonts w:ascii="Times New Roman" w:eastAsia="Calibri" w:hAnsi="Times New Roman" w:cs="Times New Roman"/>
                <w:b/>
                <w:sz w:val="24"/>
              </w:rPr>
            </w:pPr>
            <w:r w:rsidRPr="007F3947">
              <w:rPr>
                <w:rFonts w:ascii="Times New Roman" w:eastAsia="Calibri" w:hAnsi="Times New Roman" w:cs="Times New Roman"/>
                <w:b/>
                <w:sz w:val="24"/>
              </w:rPr>
              <w:t>Principal or Secondary Diagnosis in Question</w:t>
            </w:r>
          </w:p>
        </w:tc>
        <w:tc>
          <w:tcPr>
            <w:tcW w:w="3337" w:type="pct"/>
            <w:shd w:val="clear" w:color="auto" w:fill="auto"/>
          </w:tcPr>
          <w:p w14:paraId="0D145307" w14:textId="77777777" w:rsidR="007F3947" w:rsidRPr="007F3947" w:rsidRDefault="007F3947" w:rsidP="007F3947">
            <w:pPr>
              <w:spacing w:after="0" w:line="240" w:lineRule="auto"/>
              <w:rPr>
                <w:rFonts w:ascii="Times New Roman" w:eastAsia="Calibri" w:hAnsi="Times New Roman" w:cs="Times New Roman"/>
                <w:sz w:val="24"/>
              </w:rPr>
            </w:pPr>
            <w:r w:rsidRPr="007F3947">
              <w:rPr>
                <w:rFonts w:ascii="Times New Roman" w:eastAsia="Calibri" w:hAnsi="Times New Roman" w:cs="Times New Roman"/>
                <w:sz w:val="24"/>
              </w:rPr>
              <w:t>ICD-</w:t>
            </w:r>
            <w:r w:rsidRPr="00D158F1">
              <w:rPr>
                <w:rFonts w:ascii="Times New Roman" w:eastAsia="Calibri" w:hAnsi="Times New Roman" w:cs="Times New Roman"/>
                <w:sz w:val="24"/>
              </w:rPr>
              <w:t>10</w:t>
            </w:r>
            <w:r w:rsidRPr="007F3947">
              <w:rPr>
                <w:rFonts w:ascii="Times New Roman" w:eastAsia="Calibri" w:hAnsi="Times New Roman" w:cs="Times New Roman"/>
                <w:sz w:val="24"/>
              </w:rPr>
              <w:t xml:space="preserve">-CM </w:t>
            </w:r>
            <w:r w:rsidRPr="007F3947">
              <w:rPr>
                <w:rFonts w:ascii="Times New Roman" w:eastAsia="Calibri" w:hAnsi="Times New Roman" w:cs="Times New Roman"/>
                <w:i/>
                <w:color w:val="FF0000"/>
                <w:sz w:val="24"/>
              </w:rPr>
              <w:t>specify diagnosis or dia</w:t>
            </w:r>
            <w:r w:rsidR="00D158F1">
              <w:rPr>
                <w:rFonts w:ascii="Times New Roman" w:eastAsia="Calibri" w:hAnsi="Times New Roman" w:cs="Times New Roman"/>
                <w:i/>
                <w:color w:val="FF0000"/>
                <w:sz w:val="24"/>
              </w:rPr>
              <w:t xml:space="preserve">gnoses in question with </w:t>
            </w:r>
            <w:r w:rsidRPr="007F3947">
              <w:rPr>
                <w:rFonts w:ascii="Times New Roman" w:eastAsia="Calibri" w:hAnsi="Times New Roman" w:cs="Times New Roman"/>
                <w:i/>
                <w:color w:val="FF0000"/>
                <w:sz w:val="24"/>
              </w:rPr>
              <w:t>ICD-10 number and description</w:t>
            </w:r>
          </w:p>
        </w:tc>
      </w:tr>
      <w:bookmarkEnd w:id="0"/>
      <w:bookmarkEnd w:id="1"/>
    </w:tbl>
    <w:p w14:paraId="2F35608E" w14:textId="77777777" w:rsidR="007F3947" w:rsidRDefault="007F3947" w:rsidP="006B7B57">
      <w:pPr>
        <w:pStyle w:val="NoSpacing"/>
      </w:pPr>
    </w:p>
    <w:p w14:paraId="1EF5527F" w14:textId="2257DF86" w:rsidR="00A65D8E" w:rsidRPr="0046361A" w:rsidRDefault="0046361A" w:rsidP="0046361A">
      <w:pPr>
        <w:spacing w:after="0" w:afterAutospacing="1" w:line="240" w:lineRule="auto"/>
        <w:rPr>
          <w:rFonts w:ascii="Times New Roman" w:eastAsia="Calibri" w:hAnsi="Times New Roman" w:cs="Times New Roman"/>
          <w:b/>
          <w:sz w:val="24"/>
        </w:rPr>
      </w:pPr>
      <w:r w:rsidRPr="0046361A">
        <w:rPr>
          <w:rFonts w:ascii="Times New Roman" w:eastAsia="Calibri" w:hAnsi="Times New Roman" w:cs="Times New Roman"/>
          <w:b/>
          <w:bCs/>
          <w:sz w:val="24"/>
          <w:szCs w:val="24"/>
        </w:rPr>
        <w:fldChar w:fldCharType="begin"/>
      </w:r>
      <w:r w:rsidRPr="0046361A">
        <w:rPr>
          <w:rFonts w:ascii="Times New Roman" w:eastAsia="Calibri" w:hAnsi="Times New Roman" w:cs="Times New Roman"/>
          <w:b/>
          <w:bCs/>
          <w:sz w:val="24"/>
          <w:szCs w:val="24"/>
        </w:rPr>
        <w:instrText xml:space="preserve"> MERGEFIELD Facility </w:instrText>
      </w:r>
      <w:r w:rsidRPr="0046361A">
        <w:rPr>
          <w:rFonts w:ascii="Times New Roman" w:eastAsia="Calibri" w:hAnsi="Times New Roman" w:cs="Times New Roman"/>
          <w:b/>
          <w:bCs/>
          <w:sz w:val="24"/>
          <w:szCs w:val="24"/>
        </w:rPr>
        <w:fldChar w:fldCharType="separate"/>
      </w:r>
      <w:r w:rsidRPr="0046361A">
        <w:rPr>
          <w:rFonts w:ascii="Times New Roman" w:eastAsia="Calibri" w:hAnsi="Times New Roman" w:cs="Times New Roman"/>
          <w:b/>
          <w:bCs/>
          <w:noProof/>
          <w:sz w:val="24"/>
          <w:szCs w:val="24"/>
        </w:rPr>
        <w:t>«Facility»</w:t>
      </w:r>
      <w:r w:rsidRPr="0046361A">
        <w:rPr>
          <w:rFonts w:ascii="Times New Roman" w:eastAsia="Calibri" w:hAnsi="Times New Roman" w:cs="Times New Roman"/>
          <w:b/>
          <w:bCs/>
          <w:sz w:val="24"/>
          <w:szCs w:val="24"/>
        </w:rPr>
        <w:fldChar w:fldCharType="end"/>
      </w:r>
      <w:r w:rsidRPr="0046361A">
        <w:rPr>
          <w:rFonts w:ascii="Times New Roman" w:eastAsia="Calibri" w:hAnsi="Times New Roman" w:cs="Times New Roman"/>
          <w:b/>
          <w:bCs/>
          <w:sz w:val="24"/>
          <w:szCs w:val="24"/>
        </w:rPr>
        <w:t xml:space="preserve"> </w:t>
      </w:r>
      <w:r w:rsidRPr="0046361A">
        <w:rPr>
          <w:rFonts w:ascii="Times New Roman" w:eastAsia="Calibri" w:hAnsi="Times New Roman" w:cs="Times New Roman"/>
          <w:b/>
          <w:bCs/>
          <w:sz w:val="24"/>
        </w:rPr>
        <w:t xml:space="preserve">requests inclusion of </w:t>
      </w:r>
      <w:r w:rsidRPr="0046361A">
        <w:rPr>
          <w:rFonts w:ascii="Times New Roman" w:eastAsia="Calibri" w:hAnsi="Times New Roman" w:cs="Times New Roman"/>
          <w:b/>
          <w:bCs/>
          <w:color w:val="FF0000"/>
          <w:sz w:val="24"/>
        </w:rPr>
        <w:t xml:space="preserve">_ </w:t>
      </w:r>
      <w:r w:rsidRPr="0046361A">
        <w:rPr>
          <w:rFonts w:ascii="Times New Roman" w:eastAsia="Calibri" w:hAnsi="Times New Roman" w:cs="Times New Roman"/>
          <w:b/>
          <w:bCs/>
          <w:sz w:val="24"/>
        </w:rPr>
        <w:t xml:space="preserve">as a </w:t>
      </w:r>
      <w:r w:rsidRPr="0046361A">
        <w:rPr>
          <w:rFonts w:ascii="Times New Roman" w:eastAsia="Calibri" w:hAnsi="Times New Roman" w:cs="Times New Roman"/>
          <w:b/>
          <w:bCs/>
          <w:color w:val="FF0000"/>
          <w:sz w:val="24"/>
        </w:rPr>
        <w:t>principal/secondary</w:t>
      </w:r>
      <w:r w:rsidRPr="0046361A">
        <w:rPr>
          <w:rFonts w:ascii="Times New Roman" w:eastAsia="Calibri" w:hAnsi="Times New Roman" w:cs="Times New Roman"/>
          <w:b/>
          <w:bCs/>
          <w:sz w:val="24"/>
        </w:rPr>
        <w:t xml:space="preserve"> diagnosis code resulting in DRG </w:t>
      </w:r>
      <w:r w:rsidRPr="0046361A">
        <w:rPr>
          <w:rFonts w:ascii="Times New Roman" w:eastAsia="Calibri" w:hAnsi="Times New Roman" w:cs="Times New Roman"/>
          <w:b/>
          <w:bCs/>
          <w:color w:val="FF0000"/>
          <w:sz w:val="24"/>
        </w:rPr>
        <w:t xml:space="preserve">__ </w:t>
      </w:r>
      <w:r w:rsidRPr="0046361A">
        <w:rPr>
          <w:rFonts w:ascii="Times New Roman" w:eastAsia="Calibri" w:hAnsi="Times New Roman" w:cs="Times New Roman"/>
          <w:b/>
          <w:bCs/>
          <w:sz w:val="24"/>
        </w:rPr>
        <w:t>as originally billed.</w:t>
      </w:r>
    </w:p>
    <w:p w14:paraId="446AA47C" w14:textId="1E15234C" w:rsidR="004B3FE7" w:rsidRPr="007F3947" w:rsidRDefault="00552964" w:rsidP="006B7B57">
      <w:pPr>
        <w:pStyle w:val="NoSpacing"/>
        <w:rPr>
          <w:b/>
        </w:rPr>
      </w:pPr>
      <w:r w:rsidRPr="003E4884">
        <w:t xml:space="preserve">Below are significant medical record entries pertaining to </w:t>
      </w:r>
      <w:r w:rsidRPr="003E4884">
        <w:fldChar w:fldCharType="begin"/>
      </w:r>
      <w:r w:rsidRPr="003E4884">
        <w:instrText xml:space="preserve"> MERGEFIELD </w:instrText>
      </w:r>
      <w:r w:rsidRPr="003E4884">
        <w:rPr>
          <w:bCs/>
          <w:lang w:bidi="en-US"/>
        </w:rPr>
        <w:instrText>PAT_Full_Name</w:instrText>
      </w:r>
      <w:r w:rsidRPr="003E4884">
        <w:instrText xml:space="preserve"> </w:instrText>
      </w:r>
      <w:r w:rsidRPr="003E4884">
        <w:fldChar w:fldCharType="separate"/>
      </w:r>
      <w:r w:rsidRPr="003E4884">
        <w:rPr>
          <w:noProof/>
        </w:rPr>
        <w:t>«PAT_Full_Name»</w:t>
      </w:r>
      <w:r w:rsidRPr="003E4884">
        <w:fldChar w:fldCharType="end"/>
      </w:r>
      <w:r w:rsidRPr="003E4884">
        <w:t>’s</w:t>
      </w:r>
      <w:r w:rsidR="00534B21" w:rsidRPr="003E4884">
        <w:t xml:space="preserve"> diagnosis of</w:t>
      </w:r>
      <w:r w:rsidR="00534B21">
        <w:rPr>
          <w:b/>
        </w:rPr>
        <w:t xml:space="preserve"> </w:t>
      </w:r>
      <w:r w:rsidR="00FD008E" w:rsidRPr="00FD008E">
        <w:rPr>
          <w:iCs/>
          <w:color w:val="FF0000"/>
        </w:rPr>
        <w:t xml:space="preserve">acute kidney injury, </w:t>
      </w:r>
      <w:r w:rsidR="00103169" w:rsidRPr="00FD008E">
        <w:rPr>
          <w:iCs/>
          <w:color w:val="FF0000"/>
        </w:rPr>
        <w:t>acute renal failure</w:t>
      </w:r>
      <w:r w:rsidR="00FD008E" w:rsidRPr="00FD008E">
        <w:rPr>
          <w:iCs/>
          <w:color w:val="FF0000"/>
        </w:rPr>
        <w:t>,</w:t>
      </w:r>
      <w:r w:rsidR="00431DAC" w:rsidRPr="00FD008E">
        <w:rPr>
          <w:iCs/>
          <w:color w:val="FF0000"/>
        </w:rPr>
        <w:t xml:space="preserve"> or</w:t>
      </w:r>
      <w:r w:rsidR="00103169" w:rsidRPr="00FD008E">
        <w:rPr>
          <w:iCs/>
          <w:color w:val="FF0000"/>
        </w:rPr>
        <w:t xml:space="preserve"> acute tubular necrosis</w:t>
      </w:r>
      <w:r w:rsidR="0046361A">
        <w:rPr>
          <w:i/>
        </w:rPr>
        <w:t>:</w:t>
      </w:r>
    </w:p>
    <w:p w14:paraId="4A34F46D" w14:textId="77777777" w:rsidR="004B3FE7" w:rsidRPr="00552964" w:rsidRDefault="004B3FE7" w:rsidP="006B7B57">
      <w:pPr>
        <w:pStyle w:val="NoSpacing"/>
      </w:pPr>
    </w:p>
    <w:p w14:paraId="5125C119" w14:textId="12E4776E" w:rsidR="0046361A" w:rsidRPr="00552964" w:rsidRDefault="006B0985" w:rsidP="0046361A">
      <w:pPr>
        <w:pStyle w:val="NoSpacing"/>
        <w:jc w:val="center"/>
        <w:rPr>
          <w:b/>
        </w:rPr>
      </w:pPr>
      <w:r>
        <w:rPr>
          <w:b/>
        </w:rPr>
        <w:t>Interdisciplinary</w:t>
      </w:r>
      <w:r w:rsidRPr="00552964">
        <w:rPr>
          <w:b/>
        </w:rPr>
        <w:t xml:space="preserve"> Documentation</w:t>
      </w:r>
    </w:p>
    <w:p w14:paraId="2FDC9335" w14:textId="77777777" w:rsidR="00552964" w:rsidRPr="00552964" w:rsidRDefault="00552964" w:rsidP="006B7B57">
      <w:pPr>
        <w:pStyle w:val="NoSpacing"/>
        <w:rPr>
          <w:i/>
          <w:color w:val="FF0000"/>
        </w:rPr>
      </w:pPr>
      <w:r w:rsidRPr="00552964">
        <w:rPr>
          <w:i/>
          <w:color w:val="FF0000"/>
        </w:rPr>
        <w:t>Please read the following directives in red, add appropriate documentation in the tables below, then delete all the instructions in red.</w:t>
      </w:r>
    </w:p>
    <w:p w14:paraId="3C082AE6" w14:textId="77777777" w:rsidR="00552964" w:rsidRPr="00FD008E" w:rsidRDefault="00552964" w:rsidP="006B7B57">
      <w:pPr>
        <w:pStyle w:val="NoSpacing"/>
        <w:rPr>
          <w:iCs/>
        </w:rPr>
      </w:pPr>
    </w:p>
    <w:p w14:paraId="6B78E5D8" w14:textId="77777777" w:rsidR="00FD008E" w:rsidRPr="00FD008E" w:rsidRDefault="00FD008E" w:rsidP="00FD008E">
      <w:pPr>
        <w:pStyle w:val="NoSpacing"/>
        <w:numPr>
          <w:ilvl w:val="0"/>
          <w:numId w:val="36"/>
        </w:numPr>
        <w:rPr>
          <w:iCs/>
          <w:color w:val="FF0000"/>
        </w:rPr>
      </w:pPr>
      <w:r w:rsidRPr="00FD008E">
        <w:rPr>
          <w:b/>
          <w:bCs/>
          <w:iCs/>
          <w:color w:val="FF0000"/>
        </w:rPr>
        <w:t>Patient History and Physical Examination:</w:t>
      </w:r>
    </w:p>
    <w:p w14:paraId="18168A5B" w14:textId="77777777" w:rsidR="00FD008E" w:rsidRPr="00FD008E" w:rsidRDefault="00FD008E" w:rsidP="00FD008E">
      <w:pPr>
        <w:pStyle w:val="NoSpacing"/>
        <w:numPr>
          <w:ilvl w:val="1"/>
          <w:numId w:val="36"/>
        </w:numPr>
        <w:rPr>
          <w:iCs/>
          <w:color w:val="FF0000"/>
        </w:rPr>
      </w:pPr>
      <w:r w:rsidRPr="00FD008E">
        <w:rPr>
          <w:iCs/>
          <w:color w:val="FF0000"/>
        </w:rPr>
        <w:t>Detailed medical history to identify potential causes such as recent infections, medications, or exposure to nephrotoxins.</w:t>
      </w:r>
    </w:p>
    <w:p w14:paraId="33C67457" w14:textId="77777777" w:rsidR="00FD008E" w:rsidRPr="00FD008E" w:rsidRDefault="00FD008E" w:rsidP="00FD008E">
      <w:pPr>
        <w:pStyle w:val="NoSpacing"/>
        <w:numPr>
          <w:ilvl w:val="1"/>
          <w:numId w:val="36"/>
        </w:numPr>
        <w:rPr>
          <w:iCs/>
          <w:color w:val="FF0000"/>
        </w:rPr>
      </w:pPr>
      <w:r w:rsidRPr="00FD008E">
        <w:rPr>
          <w:iCs/>
          <w:color w:val="FF0000"/>
        </w:rPr>
        <w:t>Physical examination to assess for signs of fluid overload, dehydration, or other systemic conditions.</w:t>
      </w:r>
    </w:p>
    <w:p w14:paraId="5F69F8AF" w14:textId="77777777" w:rsidR="00FD008E" w:rsidRPr="00FD008E" w:rsidRDefault="00FD008E" w:rsidP="00FD008E">
      <w:pPr>
        <w:pStyle w:val="NoSpacing"/>
        <w:numPr>
          <w:ilvl w:val="0"/>
          <w:numId w:val="36"/>
        </w:numPr>
        <w:rPr>
          <w:iCs/>
          <w:color w:val="FF0000"/>
        </w:rPr>
      </w:pPr>
      <w:r w:rsidRPr="00FD008E">
        <w:rPr>
          <w:b/>
          <w:bCs/>
          <w:iCs/>
          <w:color w:val="FF0000"/>
        </w:rPr>
        <w:t>Laboratory Tests:</w:t>
      </w:r>
    </w:p>
    <w:p w14:paraId="7F762B8F" w14:textId="77777777" w:rsidR="00FD008E" w:rsidRPr="00FD008E" w:rsidRDefault="00FD008E" w:rsidP="00FD008E">
      <w:pPr>
        <w:pStyle w:val="NoSpacing"/>
        <w:numPr>
          <w:ilvl w:val="1"/>
          <w:numId w:val="36"/>
        </w:numPr>
        <w:rPr>
          <w:iCs/>
          <w:color w:val="FF0000"/>
        </w:rPr>
      </w:pPr>
      <w:r w:rsidRPr="00FD008E">
        <w:rPr>
          <w:b/>
          <w:bCs/>
          <w:iCs/>
          <w:color w:val="FF0000"/>
        </w:rPr>
        <w:t>Serum Creatinine and Blood Urea Nitrogen (BUN):</w:t>
      </w:r>
      <w:r w:rsidRPr="00FD008E">
        <w:rPr>
          <w:iCs/>
          <w:color w:val="FF0000"/>
        </w:rPr>
        <w:t> These are primary markers for kidney function. An increase in serum creatinine is a key indicator of AKI.</w:t>
      </w:r>
    </w:p>
    <w:p w14:paraId="7A4CB8E1" w14:textId="77777777" w:rsidR="00FD008E" w:rsidRPr="00FD008E" w:rsidRDefault="00FD008E" w:rsidP="00FD008E">
      <w:pPr>
        <w:pStyle w:val="NoSpacing"/>
        <w:numPr>
          <w:ilvl w:val="1"/>
          <w:numId w:val="36"/>
        </w:numPr>
        <w:rPr>
          <w:iCs/>
          <w:color w:val="FF0000"/>
        </w:rPr>
      </w:pPr>
      <w:r w:rsidRPr="00FD008E">
        <w:rPr>
          <w:b/>
          <w:bCs/>
          <w:iCs/>
          <w:color w:val="FF0000"/>
        </w:rPr>
        <w:t>Urinalysis:</w:t>
      </w:r>
      <w:r w:rsidRPr="00FD008E">
        <w:rPr>
          <w:iCs/>
          <w:color w:val="FF0000"/>
        </w:rPr>
        <w:t> To detect abnormalities such as proteinuria, hematuria, or casts that can suggest ATN or other renal pathologies.</w:t>
      </w:r>
    </w:p>
    <w:p w14:paraId="6C5D8526" w14:textId="77777777" w:rsidR="00FD008E" w:rsidRPr="00FD008E" w:rsidRDefault="00FD008E" w:rsidP="00FD008E">
      <w:pPr>
        <w:pStyle w:val="NoSpacing"/>
        <w:numPr>
          <w:ilvl w:val="1"/>
          <w:numId w:val="36"/>
        </w:numPr>
        <w:rPr>
          <w:iCs/>
          <w:color w:val="FF0000"/>
        </w:rPr>
      </w:pPr>
      <w:r w:rsidRPr="00FD008E">
        <w:rPr>
          <w:b/>
          <w:bCs/>
          <w:iCs/>
          <w:color w:val="FF0000"/>
        </w:rPr>
        <w:t>Fractional Excretion of Sodium (FENa):</w:t>
      </w:r>
      <w:r w:rsidRPr="00FD008E">
        <w:rPr>
          <w:iCs/>
          <w:color w:val="FF0000"/>
        </w:rPr>
        <w:t> Helps differentiate between prerenal and intrinsic renal causes of AKI. A FENa &lt;1% suggests prerenal causes, while &gt;2% suggests ATN.</w:t>
      </w:r>
    </w:p>
    <w:p w14:paraId="5AC9F4EB" w14:textId="77777777" w:rsidR="00FD008E" w:rsidRPr="00FD008E" w:rsidRDefault="00FD008E" w:rsidP="00FD008E">
      <w:pPr>
        <w:pStyle w:val="NoSpacing"/>
        <w:numPr>
          <w:ilvl w:val="0"/>
          <w:numId w:val="36"/>
        </w:numPr>
        <w:rPr>
          <w:iCs/>
          <w:color w:val="FF0000"/>
        </w:rPr>
      </w:pPr>
      <w:r w:rsidRPr="00FD008E">
        <w:rPr>
          <w:b/>
          <w:bCs/>
          <w:iCs/>
          <w:color w:val="FF0000"/>
        </w:rPr>
        <w:t>Imaging Studies:</w:t>
      </w:r>
    </w:p>
    <w:p w14:paraId="10C5CDCA" w14:textId="77777777" w:rsidR="00FD008E" w:rsidRPr="00FD008E" w:rsidRDefault="00FD008E" w:rsidP="00FD008E">
      <w:pPr>
        <w:pStyle w:val="NoSpacing"/>
        <w:numPr>
          <w:ilvl w:val="1"/>
          <w:numId w:val="36"/>
        </w:numPr>
        <w:rPr>
          <w:iCs/>
          <w:color w:val="FF0000"/>
        </w:rPr>
      </w:pPr>
      <w:r w:rsidRPr="00FD008E">
        <w:rPr>
          <w:b/>
          <w:bCs/>
          <w:iCs/>
          <w:color w:val="FF0000"/>
        </w:rPr>
        <w:t>Ultrasound:</w:t>
      </w:r>
      <w:r w:rsidRPr="00FD008E">
        <w:rPr>
          <w:iCs/>
          <w:color w:val="FF0000"/>
        </w:rPr>
        <w:t> To assess kidney size and structure, and to rule out obstruction or other anatomical abnormalities.</w:t>
      </w:r>
    </w:p>
    <w:p w14:paraId="0F747FE0" w14:textId="77777777" w:rsidR="00FD008E" w:rsidRPr="00FD008E" w:rsidRDefault="00FD008E" w:rsidP="00FD008E">
      <w:pPr>
        <w:pStyle w:val="NoSpacing"/>
        <w:numPr>
          <w:ilvl w:val="1"/>
          <w:numId w:val="36"/>
        </w:numPr>
        <w:rPr>
          <w:iCs/>
          <w:color w:val="FF0000"/>
        </w:rPr>
      </w:pPr>
      <w:r w:rsidRPr="00FD008E">
        <w:rPr>
          <w:b/>
          <w:bCs/>
          <w:iCs/>
          <w:color w:val="FF0000"/>
        </w:rPr>
        <w:t>CT or MRI:</w:t>
      </w:r>
      <w:r w:rsidRPr="00FD008E">
        <w:rPr>
          <w:iCs/>
          <w:color w:val="FF0000"/>
        </w:rPr>
        <w:t> May be used in certain cases to provide more detailed imaging.</w:t>
      </w:r>
    </w:p>
    <w:p w14:paraId="035A5E6A" w14:textId="77777777" w:rsidR="00FD008E" w:rsidRPr="00FD008E" w:rsidRDefault="00FD008E" w:rsidP="00FD008E">
      <w:pPr>
        <w:pStyle w:val="NoSpacing"/>
        <w:numPr>
          <w:ilvl w:val="0"/>
          <w:numId w:val="36"/>
        </w:numPr>
        <w:rPr>
          <w:iCs/>
          <w:color w:val="FF0000"/>
        </w:rPr>
      </w:pPr>
      <w:r w:rsidRPr="00FD008E">
        <w:rPr>
          <w:b/>
          <w:bCs/>
          <w:iCs/>
          <w:color w:val="FF0000"/>
        </w:rPr>
        <w:t>Biopsy:</w:t>
      </w:r>
    </w:p>
    <w:p w14:paraId="3CE4B82A" w14:textId="77777777" w:rsidR="00FD008E" w:rsidRPr="00FD008E" w:rsidRDefault="00FD008E" w:rsidP="00FD008E">
      <w:pPr>
        <w:pStyle w:val="NoSpacing"/>
        <w:numPr>
          <w:ilvl w:val="1"/>
          <w:numId w:val="36"/>
        </w:numPr>
        <w:rPr>
          <w:iCs/>
          <w:color w:val="FF0000"/>
        </w:rPr>
      </w:pPr>
      <w:r w:rsidRPr="00FD008E">
        <w:rPr>
          <w:iCs/>
          <w:color w:val="FF0000"/>
        </w:rPr>
        <w:t>In some cases, a renal biopsy may be necessary to confirm the diagnosis of ATN or to rule out other causes of intrinsic renal failure.</w:t>
      </w:r>
    </w:p>
    <w:p w14:paraId="2D79EAD1" w14:textId="77777777" w:rsidR="00FD008E" w:rsidRPr="00FD008E" w:rsidRDefault="00FD008E" w:rsidP="00FD008E">
      <w:pPr>
        <w:pStyle w:val="NoSpacing"/>
        <w:numPr>
          <w:ilvl w:val="0"/>
          <w:numId w:val="36"/>
        </w:numPr>
        <w:rPr>
          <w:iCs/>
          <w:color w:val="FF0000"/>
        </w:rPr>
      </w:pPr>
      <w:r w:rsidRPr="00FD008E">
        <w:rPr>
          <w:b/>
          <w:bCs/>
          <w:iCs/>
          <w:color w:val="FF0000"/>
        </w:rPr>
        <w:t>Clinical Criteria and Staging:</w:t>
      </w:r>
    </w:p>
    <w:p w14:paraId="3932194F" w14:textId="77777777" w:rsidR="00FD008E" w:rsidRDefault="00FD008E" w:rsidP="00FD008E">
      <w:pPr>
        <w:pStyle w:val="NoSpacing"/>
        <w:numPr>
          <w:ilvl w:val="1"/>
          <w:numId w:val="36"/>
        </w:numPr>
        <w:rPr>
          <w:iCs/>
          <w:color w:val="FF0000"/>
        </w:rPr>
      </w:pPr>
      <w:r w:rsidRPr="00FD008E">
        <w:rPr>
          <w:iCs/>
          <w:color w:val="FF0000"/>
        </w:rPr>
        <w:t>Use of criteria such as the KDIGO (Kidney Disease: Improving Global Outcomes) guidelines to stage the severity of AKI.</w:t>
      </w:r>
    </w:p>
    <w:p w14:paraId="17BE7CC6" w14:textId="7B642CF9" w:rsidR="009F7CA4" w:rsidRPr="009F7CA4" w:rsidRDefault="009F7CA4" w:rsidP="009F7CA4">
      <w:pPr>
        <w:pStyle w:val="NoSpacing"/>
        <w:numPr>
          <w:ilvl w:val="0"/>
          <w:numId w:val="36"/>
        </w:numPr>
        <w:rPr>
          <w:iCs/>
          <w:color w:val="FF0000"/>
        </w:rPr>
      </w:pPr>
      <w:r>
        <w:rPr>
          <w:b/>
          <w:bCs/>
          <w:iCs/>
          <w:color w:val="FF0000"/>
        </w:rPr>
        <w:lastRenderedPageBreak/>
        <w:t>ATN:</w:t>
      </w:r>
    </w:p>
    <w:p w14:paraId="1BBDF71C" w14:textId="4643295C" w:rsidR="009F7CA4" w:rsidRPr="009F7CA4" w:rsidRDefault="009F7CA4" w:rsidP="009F7CA4">
      <w:pPr>
        <w:pStyle w:val="NoSpacing"/>
        <w:numPr>
          <w:ilvl w:val="1"/>
          <w:numId w:val="36"/>
        </w:numPr>
        <w:rPr>
          <w:rFonts w:cs="Times New Roman"/>
          <w:iCs/>
          <w:color w:val="FF0000"/>
          <w:szCs w:val="24"/>
        </w:rPr>
      </w:pPr>
      <w:r w:rsidRPr="009F7CA4">
        <w:rPr>
          <w:rFonts w:cs="Times New Roman"/>
          <w:bCs/>
          <w:color w:val="FF0000"/>
          <w:szCs w:val="24"/>
        </w:rPr>
        <w:t>IV contrast AKI is nearly always due to ATN</w:t>
      </w:r>
    </w:p>
    <w:p w14:paraId="2FDB266D" w14:textId="4423F66C" w:rsidR="009F7CA4" w:rsidRPr="009F7CA4" w:rsidRDefault="009F7CA4" w:rsidP="00FE1667">
      <w:pPr>
        <w:numPr>
          <w:ilvl w:val="1"/>
          <w:numId w:val="36"/>
        </w:numPr>
        <w:spacing w:after="0" w:line="240" w:lineRule="auto"/>
        <w:rPr>
          <w:rFonts w:ascii="Times New Roman" w:hAnsi="Times New Roman" w:cs="Times New Roman"/>
          <w:iCs/>
          <w:color w:val="FF0000"/>
          <w:sz w:val="24"/>
          <w:szCs w:val="24"/>
        </w:rPr>
      </w:pPr>
      <w:r w:rsidRPr="009F7CA4">
        <w:rPr>
          <w:rFonts w:ascii="Times New Roman" w:hAnsi="Times New Roman" w:cs="Times New Roman"/>
          <w:bCs/>
          <w:color w:val="FF0000"/>
          <w:sz w:val="24"/>
          <w:szCs w:val="24"/>
        </w:rPr>
        <w:t>Urinalysis (in ATN) is typically unremarkable. Only in extreme cases with necrosis can renal epithelial cells and “muddy brown” casts be identified.</w:t>
      </w:r>
    </w:p>
    <w:p w14:paraId="0DEBBF95" w14:textId="77777777" w:rsidR="009F7CA4" w:rsidRPr="009F7CA4" w:rsidRDefault="009F7CA4" w:rsidP="009F7CA4">
      <w:pPr>
        <w:numPr>
          <w:ilvl w:val="0"/>
          <w:numId w:val="23"/>
        </w:numPr>
        <w:spacing w:after="0" w:line="240" w:lineRule="auto"/>
        <w:rPr>
          <w:rFonts w:ascii="Times New Roman" w:hAnsi="Times New Roman" w:cs="Times New Roman"/>
          <w:bCs/>
          <w:color w:val="FF0000"/>
          <w:sz w:val="24"/>
          <w:szCs w:val="24"/>
        </w:rPr>
      </w:pPr>
      <w:r w:rsidRPr="009F7CA4">
        <w:rPr>
          <w:rFonts w:ascii="Times New Roman" w:hAnsi="Times New Roman" w:cs="Times New Roman"/>
          <w:bCs/>
          <w:color w:val="FF0000"/>
          <w:sz w:val="24"/>
          <w:szCs w:val="24"/>
        </w:rPr>
        <w:t>If measured:</w:t>
      </w:r>
    </w:p>
    <w:p w14:paraId="28216EE1" w14:textId="77777777" w:rsidR="009F7CA4" w:rsidRPr="009F7CA4" w:rsidRDefault="009F7CA4" w:rsidP="009F7CA4">
      <w:pPr>
        <w:numPr>
          <w:ilvl w:val="0"/>
          <w:numId w:val="19"/>
        </w:numPr>
        <w:spacing w:after="0" w:line="240" w:lineRule="auto"/>
        <w:rPr>
          <w:rFonts w:ascii="Times New Roman" w:hAnsi="Times New Roman" w:cs="Times New Roman"/>
          <w:bCs/>
          <w:color w:val="FF0000"/>
          <w:sz w:val="24"/>
          <w:szCs w:val="24"/>
        </w:rPr>
      </w:pPr>
      <w:r w:rsidRPr="009F7CA4">
        <w:rPr>
          <w:rFonts w:ascii="Times New Roman" w:hAnsi="Times New Roman" w:cs="Times New Roman"/>
          <w:bCs/>
          <w:color w:val="FF0000"/>
          <w:sz w:val="24"/>
          <w:szCs w:val="24"/>
        </w:rPr>
        <w:t>Urinary sodium concentration is typically above 40 mEq/L in ATN.</w:t>
      </w:r>
    </w:p>
    <w:p w14:paraId="25A7669C" w14:textId="2BFD28D8" w:rsidR="009F7CA4" w:rsidRPr="009F7CA4" w:rsidRDefault="009F7CA4" w:rsidP="009F7CA4">
      <w:pPr>
        <w:numPr>
          <w:ilvl w:val="0"/>
          <w:numId w:val="19"/>
        </w:numPr>
        <w:spacing w:after="0" w:line="240" w:lineRule="auto"/>
        <w:rPr>
          <w:rFonts w:ascii="Times New Roman" w:hAnsi="Times New Roman" w:cs="Times New Roman"/>
          <w:bCs/>
          <w:color w:val="FF0000"/>
          <w:sz w:val="24"/>
          <w:szCs w:val="24"/>
        </w:rPr>
      </w:pPr>
      <w:r w:rsidRPr="009F7CA4">
        <w:rPr>
          <w:rFonts w:ascii="Times New Roman" w:hAnsi="Times New Roman" w:cs="Times New Roman"/>
          <w:bCs/>
          <w:color w:val="FF0000"/>
          <w:sz w:val="24"/>
          <w:szCs w:val="24"/>
        </w:rPr>
        <w:t xml:space="preserve">Fractional excretion of sodium (FENa) is usually, but not always, above 2% in ATN. </w:t>
      </w:r>
    </w:p>
    <w:p w14:paraId="5201CD2E" w14:textId="2D658907" w:rsidR="00FD008E" w:rsidRPr="00FD008E" w:rsidRDefault="009F7CA4" w:rsidP="00BA2670">
      <w:pPr>
        <w:numPr>
          <w:ilvl w:val="1"/>
          <w:numId w:val="36"/>
        </w:numPr>
        <w:spacing w:after="0" w:line="240" w:lineRule="auto"/>
        <w:rPr>
          <w:rFonts w:ascii="Times New Roman" w:hAnsi="Times New Roman"/>
          <w:i/>
          <w:color w:val="FF0000"/>
          <w:sz w:val="24"/>
        </w:rPr>
      </w:pPr>
      <w:r w:rsidRPr="009F7CA4">
        <w:rPr>
          <w:rFonts w:ascii="Times New Roman" w:hAnsi="Times New Roman" w:cs="Times New Roman"/>
          <w:bCs/>
          <w:color w:val="FF0000"/>
          <w:sz w:val="24"/>
          <w:szCs w:val="24"/>
        </w:rPr>
        <w:t>Creatinine levels in ATN are expected to need at least 72 hours to recover toward baseline after initiation of hydration and fluid resuscitation.</w:t>
      </w:r>
    </w:p>
    <w:p w14:paraId="01DC18E0" w14:textId="77777777" w:rsidR="00552964" w:rsidRPr="00552964" w:rsidRDefault="00552964" w:rsidP="006B7B57">
      <w:pPr>
        <w:pStyle w:val="NoSpacing"/>
        <w:rPr>
          <w:color w:val="FF000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5234"/>
        <w:gridCol w:w="1426"/>
      </w:tblGrid>
      <w:tr w:rsidR="00552964" w:rsidRPr="006B7B57" w14:paraId="40F1DF58" w14:textId="77777777" w:rsidTr="008A6DDC">
        <w:tc>
          <w:tcPr>
            <w:tcW w:w="2700" w:type="dxa"/>
            <w:shd w:val="clear" w:color="auto" w:fill="auto"/>
          </w:tcPr>
          <w:p w14:paraId="73B2F535" w14:textId="77777777" w:rsidR="00552964" w:rsidRPr="006B7B57" w:rsidRDefault="00552964" w:rsidP="006B7B57">
            <w:pPr>
              <w:pStyle w:val="NoSpacing"/>
              <w:jc w:val="center"/>
              <w:rPr>
                <w:b/>
              </w:rPr>
            </w:pPr>
            <w:r w:rsidRPr="006B7B57">
              <w:rPr>
                <w:b/>
              </w:rPr>
              <w:t>Document Source &amp; Date</w:t>
            </w:r>
          </w:p>
        </w:tc>
        <w:tc>
          <w:tcPr>
            <w:tcW w:w="5310" w:type="dxa"/>
            <w:shd w:val="clear" w:color="auto" w:fill="auto"/>
          </w:tcPr>
          <w:p w14:paraId="3375D610" w14:textId="77777777" w:rsidR="00552964" w:rsidRPr="006B7B57" w:rsidRDefault="00552964" w:rsidP="006B7B57">
            <w:pPr>
              <w:pStyle w:val="NoSpacing"/>
              <w:jc w:val="center"/>
              <w:rPr>
                <w:b/>
              </w:rPr>
            </w:pPr>
            <w:r w:rsidRPr="006B7B57">
              <w:rPr>
                <w:b/>
              </w:rPr>
              <w:t>Pertinent Information</w:t>
            </w:r>
          </w:p>
        </w:tc>
        <w:tc>
          <w:tcPr>
            <w:tcW w:w="1440" w:type="dxa"/>
            <w:shd w:val="clear" w:color="auto" w:fill="auto"/>
          </w:tcPr>
          <w:p w14:paraId="4AA1EC45" w14:textId="352D7748" w:rsidR="00552964" w:rsidRPr="006B7B57" w:rsidRDefault="00552964" w:rsidP="006B7B57">
            <w:pPr>
              <w:pStyle w:val="NoSpacing"/>
              <w:jc w:val="center"/>
              <w:rPr>
                <w:b/>
              </w:rPr>
            </w:pPr>
            <w:r w:rsidRPr="006B7B57">
              <w:rPr>
                <w:b/>
              </w:rPr>
              <w:t>Page</w:t>
            </w:r>
          </w:p>
        </w:tc>
      </w:tr>
      <w:tr w:rsidR="00552964" w:rsidRPr="00552964" w14:paraId="1D6FCA51" w14:textId="77777777" w:rsidTr="008A6DDC">
        <w:tc>
          <w:tcPr>
            <w:tcW w:w="2700" w:type="dxa"/>
            <w:shd w:val="clear" w:color="auto" w:fill="auto"/>
          </w:tcPr>
          <w:p w14:paraId="1A12095D" w14:textId="77777777" w:rsidR="00552964" w:rsidRPr="00552964" w:rsidRDefault="00552964" w:rsidP="006B7B57">
            <w:pPr>
              <w:pStyle w:val="NoSpacing"/>
            </w:pPr>
          </w:p>
        </w:tc>
        <w:tc>
          <w:tcPr>
            <w:tcW w:w="5310" w:type="dxa"/>
            <w:shd w:val="clear" w:color="auto" w:fill="auto"/>
          </w:tcPr>
          <w:p w14:paraId="40FDF8D2" w14:textId="77777777" w:rsidR="00552964" w:rsidRPr="0043223D" w:rsidRDefault="00552964" w:rsidP="006B7B57">
            <w:pPr>
              <w:pStyle w:val="NoSpacing"/>
            </w:pPr>
          </w:p>
        </w:tc>
        <w:tc>
          <w:tcPr>
            <w:tcW w:w="1440" w:type="dxa"/>
            <w:shd w:val="clear" w:color="auto" w:fill="auto"/>
          </w:tcPr>
          <w:p w14:paraId="6A3F676E" w14:textId="77777777" w:rsidR="00552964" w:rsidRPr="00552964" w:rsidRDefault="00552964" w:rsidP="006B7B57">
            <w:pPr>
              <w:pStyle w:val="NoSpacing"/>
              <w:jc w:val="center"/>
            </w:pPr>
          </w:p>
        </w:tc>
      </w:tr>
      <w:tr w:rsidR="00552964" w:rsidRPr="00552964" w14:paraId="210E08EE" w14:textId="77777777" w:rsidTr="008A6DDC">
        <w:tc>
          <w:tcPr>
            <w:tcW w:w="2700" w:type="dxa"/>
            <w:shd w:val="clear" w:color="auto" w:fill="auto"/>
          </w:tcPr>
          <w:p w14:paraId="64B159B8" w14:textId="77777777" w:rsidR="00552964" w:rsidRPr="00552964" w:rsidRDefault="00552964" w:rsidP="006B7B57">
            <w:pPr>
              <w:pStyle w:val="NoSpacing"/>
            </w:pPr>
          </w:p>
        </w:tc>
        <w:tc>
          <w:tcPr>
            <w:tcW w:w="5310" w:type="dxa"/>
            <w:shd w:val="clear" w:color="auto" w:fill="auto"/>
          </w:tcPr>
          <w:p w14:paraId="02CBCEF3" w14:textId="77777777" w:rsidR="00552964" w:rsidRPr="0043223D" w:rsidRDefault="00552964" w:rsidP="006B7B57">
            <w:pPr>
              <w:pStyle w:val="NoSpacing"/>
            </w:pPr>
          </w:p>
        </w:tc>
        <w:tc>
          <w:tcPr>
            <w:tcW w:w="1440" w:type="dxa"/>
            <w:shd w:val="clear" w:color="auto" w:fill="auto"/>
          </w:tcPr>
          <w:p w14:paraId="5FCEF15B" w14:textId="77777777" w:rsidR="00552964" w:rsidRPr="00552964" w:rsidRDefault="00552964" w:rsidP="006B7B57">
            <w:pPr>
              <w:pStyle w:val="NoSpacing"/>
              <w:jc w:val="center"/>
            </w:pPr>
          </w:p>
        </w:tc>
      </w:tr>
      <w:tr w:rsidR="00552964" w:rsidRPr="00552964" w14:paraId="20DF2C13" w14:textId="77777777" w:rsidTr="008A6DDC">
        <w:tc>
          <w:tcPr>
            <w:tcW w:w="2700" w:type="dxa"/>
            <w:shd w:val="clear" w:color="auto" w:fill="auto"/>
          </w:tcPr>
          <w:p w14:paraId="327946E9" w14:textId="77777777" w:rsidR="00552964" w:rsidRPr="00552964" w:rsidRDefault="00552964" w:rsidP="006B7B57">
            <w:pPr>
              <w:pStyle w:val="NoSpacing"/>
            </w:pPr>
          </w:p>
        </w:tc>
        <w:tc>
          <w:tcPr>
            <w:tcW w:w="5310" w:type="dxa"/>
            <w:shd w:val="clear" w:color="auto" w:fill="auto"/>
          </w:tcPr>
          <w:p w14:paraId="71A2382D" w14:textId="77777777" w:rsidR="00552964" w:rsidRPr="0043223D" w:rsidRDefault="00552964" w:rsidP="006B7B57">
            <w:pPr>
              <w:pStyle w:val="NoSpacing"/>
            </w:pPr>
          </w:p>
        </w:tc>
        <w:tc>
          <w:tcPr>
            <w:tcW w:w="1440" w:type="dxa"/>
            <w:shd w:val="clear" w:color="auto" w:fill="auto"/>
          </w:tcPr>
          <w:p w14:paraId="775206E3" w14:textId="77777777" w:rsidR="00552964" w:rsidRPr="00552964" w:rsidRDefault="00552964" w:rsidP="006B7B57">
            <w:pPr>
              <w:pStyle w:val="NoSpacing"/>
              <w:jc w:val="center"/>
            </w:pPr>
          </w:p>
        </w:tc>
      </w:tr>
      <w:tr w:rsidR="00552964" w:rsidRPr="00552964" w14:paraId="32D1C109" w14:textId="77777777" w:rsidTr="008A6DDC">
        <w:tc>
          <w:tcPr>
            <w:tcW w:w="2700" w:type="dxa"/>
            <w:shd w:val="clear" w:color="auto" w:fill="auto"/>
          </w:tcPr>
          <w:p w14:paraId="2CAAA740" w14:textId="77777777" w:rsidR="00552964" w:rsidRPr="00552964" w:rsidRDefault="00552964" w:rsidP="006B7B57">
            <w:pPr>
              <w:pStyle w:val="NoSpacing"/>
            </w:pPr>
          </w:p>
        </w:tc>
        <w:tc>
          <w:tcPr>
            <w:tcW w:w="5310" w:type="dxa"/>
            <w:shd w:val="clear" w:color="auto" w:fill="auto"/>
          </w:tcPr>
          <w:p w14:paraId="29DF0DA1" w14:textId="77777777" w:rsidR="00552964" w:rsidRPr="0043223D" w:rsidRDefault="00552964" w:rsidP="006B7B57">
            <w:pPr>
              <w:pStyle w:val="NoSpacing"/>
            </w:pPr>
          </w:p>
        </w:tc>
        <w:tc>
          <w:tcPr>
            <w:tcW w:w="1440" w:type="dxa"/>
            <w:shd w:val="clear" w:color="auto" w:fill="auto"/>
          </w:tcPr>
          <w:p w14:paraId="6D1AA8FC" w14:textId="77777777" w:rsidR="00552964" w:rsidRPr="00552964" w:rsidRDefault="00552964" w:rsidP="006B7B57">
            <w:pPr>
              <w:pStyle w:val="NoSpacing"/>
              <w:jc w:val="center"/>
            </w:pPr>
          </w:p>
        </w:tc>
      </w:tr>
      <w:tr w:rsidR="00552964" w:rsidRPr="00552964" w14:paraId="2ABD98AF" w14:textId="77777777" w:rsidTr="008A6DDC">
        <w:tc>
          <w:tcPr>
            <w:tcW w:w="2700" w:type="dxa"/>
            <w:shd w:val="clear" w:color="auto" w:fill="auto"/>
          </w:tcPr>
          <w:p w14:paraId="33E748EB" w14:textId="77777777" w:rsidR="00552964" w:rsidRPr="00552964" w:rsidRDefault="00552964" w:rsidP="006B7B57">
            <w:pPr>
              <w:pStyle w:val="NoSpacing"/>
            </w:pPr>
          </w:p>
        </w:tc>
        <w:tc>
          <w:tcPr>
            <w:tcW w:w="5310" w:type="dxa"/>
            <w:shd w:val="clear" w:color="auto" w:fill="auto"/>
          </w:tcPr>
          <w:p w14:paraId="4AE52042" w14:textId="77777777" w:rsidR="00552964" w:rsidRPr="0043223D" w:rsidRDefault="00552964" w:rsidP="006B7B57">
            <w:pPr>
              <w:pStyle w:val="NoSpacing"/>
            </w:pPr>
          </w:p>
        </w:tc>
        <w:tc>
          <w:tcPr>
            <w:tcW w:w="1440" w:type="dxa"/>
            <w:shd w:val="clear" w:color="auto" w:fill="auto"/>
          </w:tcPr>
          <w:p w14:paraId="5313695B" w14:textId="77777777" w:rsidR="00552964" w:rsidRPr="00552964" w:rsidRDefault="00552964" w:rsidP="006B7B57">
            <w:pPr>
              <w:pStyle w:val="NoSpacing"/>
              <w:jc w:val="center"/>
            </w:pPr>
          </w:p>
        </w:tc>
      </w:tr>
      <w:tr w:rsidR="00552964" w:rsidRPr="00552964" w14:paraId="61C18B15" w14:textId="77777777" w:rsidTr="008A6DDC">
        <w:tc>
          <w:tcPr>
            <w:tcW w:w="2700" w:type="dxa"/>
            <w:shd w:val="clear" w:color="auto" w:fill="auto"/>
          </w:tcPr>
          <w:p w14:paraId="46973622" w14:textId="77777777" w:rsidR="00552964" w:rsidRPr="00552964" w:rsidRDefault="00552964" w:rsidP="006B7B57">
            <w:pPr>
              <w:pStyle w:val="NoSpacing"/>
            </w:pPr>
          </w:p>
        </w:tc>
        <w:tc>
          <w:tcPr>
            <w:tcW w:w="5310" w:type="dxa"/>
            <w:shd w:val="clear" w:color="auto" w:fill="auto"/>
          </w:tcPr>
          <w:p w14:paraId="320497E9" w14:textId="77777777" w:rsidR="00552964" w:rsidRPr="0043223D" w:rsidRDefault="00552964" w:rsidP="006B7B57">
            <w:pPr>
              <w:pStyle w:val="NoSpacing"/>
            </w:pPr>
          </w:p>
        </w:tc>
        <w:tc>
          <w:tcPr>
            <w:tcW w:w="1440" w:type="dxa"/>
            <w:shd w:val="clear" w:color="auto" w:fill="auto"/>
          </w:tcPr>
          <w:p w14:paraId="75448C26" w14:textId="77777777" w:rsidR="00552964" w:rsidRPr="00552964" w:rsidRDefault="00552964" w:rsidP="006B7B57">
            <w:pPr>
              <w:pStyle w:val="NoSpacing"/>
              <w:jc w:val="center"/>
            </w:pPr>
          </w:p>
        </w:tc>
      </w:tr>
      <w:tr w:rsidR="00552964" w:rsidRPr="00552964" w14:paraId="3E3B3CF1" w14:textId="77777777" w:rsidTr="008A6DDC">
        <w:tc>
          <w:tcPr>
            <w:tcW w:w="2700" w:type="dxa"/>
            <w:shd w:val="clear" w:color="auto" w:fill="auto"/>
          </w:tcPr>
          <w:p w14:paraId="59019971" w14:textId="77777777" w:rsidR="00552964" w:rsidRPr="00552964" w:rsidRDefault="00552964" w:rsidP="006B7B57">
            <w:pPr>
              <w:pStyle w:val="NoSpacing"/>
            </w:pPr>
          </w:p>
        </w:tc>
        <w:tc>
          <w:tcPr>
            <w:tcW w:w="5310" w:type="dxa"/>
            <w:shd w:val="clear" w:color="auto" w:fill="auto"/>
          </w:tcPr>
          <w:p w14:paraId="2D6864B6" w14:textId="77777777" w:rsidR="00552964" w:rsidRPr="0043223D" w:rsidRDefault="00552964" w:rsidP="006B7B57">
            <w:pPr>
              <w:pStyle w:val="NoSpacing"/>
            </w:pPr>
          </w:p>
        </w:tc>
        <w:tc>
          <w:tcPr>
            <w:tcW w:w="1440" w:type="dxa"/>
            <w:shd w:val="clear" w:color="auto" w:fill="auto"/>
          </w:tcPr>
          <w:p w14:paraId="18EC59BC" w14:textId="77777777" w:rsidR="00552964" w:rsidRPr="00552964" w:rsidRDefault="00552964" w:rsidP="006B7B57">
            <w:pPr>
              <w:pStyle w:val="NoSpacing"/>
              <w:jc w:val="center"/>
            </w:pPr>
          </w:p>
        </w:tc>
      </w:tr>
      <w:tr w:rsidR="00552964" w:rsidRPr="00552964" w14:paraId="1F21CD12" w14:textId="77777777" w:rsidTr="008A6DDC">
        <w:tc>
          <w:tcPr>
            <w:tcW w:w="2700" w:type="dxa"/>
            <w:shd w:val="clear" w:color="auto" w:fill="auto"/>
          </w:tcPr>
          <w:p w14:paraId="019DB382" w14:textId="77777777" w:rsidR="00552964" w:rsidRPr="00552964" w:rsidRDefault="00552964" w:rsidP="006B7B57">
            <w:pPr>
              <w:pStyle w:val="NoSpacing"/>
            </w:pPr>
          </w:p>
        </w:tc>
        <w:tc>
          <w:tcPr>
            <w:tcW w:w="5310" w:type="dxa"/>
            <w:shd w:val="clear" w:color="auto" w:fill="auto"/>
          </w:tcPr>
          <w:p w14:paraId="19FC406B" w14:textId="77777777" w:rsidR="00552964" w:rsidRPr="0043223D" w:rsidRDefault="00552964" w:rsidP="006B7B57">
            <w:pPr>
              <w:pStyle w:val="NoSpacing"/>
            </w:pPr>
          </w:p>
        </w:tc>
        <w:tc>
          <w:tcPr>
            <w:tcW w:w="1440" w:type="dxa"/>
            <w:shd w:val="clear" w:color="auto" w:fill="auto"/>
          </w:tcPr>
          <w:p w14:paraId="7D401991" w14:textId="77777777" w:rsidR="00552964" w:rsidRPr="00552964" w:rsidRDefault="00552964" w:rsidP="006B7B57">
            <w:pPr>
              <w:pStyle w:val="NoSpacing"/>
              <w:jc w:val="center"/>
            </w:pPr>
          </w:p>
        </w:tc>
      </w:tr>
    </w:tbl>
    <w:p w14:paraId="6EC4F14B" w14:textId="77777777" w:rsidR="00552964" w:rsidRPr="00552964" w:rsidRDefault="00552964" w:rsidP="001E353D">
      <w:pPr>
        <w:pStyle w:val="NoSpacing"/>
      </w:pPr>
    </w:p>
    <w:p w14:paraId="352316C8" w14:textId="77777777" w:rsidR="00552964" w:rsidRPr="001E353D" w:rsidRDefault="00552964" w:rsidP="001E353D">
      <w:pPr>
        <w:pStyle w:val="NoSpacing"/>
        <w:jc w:val="center"/>
        <w:rPr>
          <w:rFonts w:eastAsia="Calibri" w:cs="Times New Roman"/>
          <w:b/>
        </w:rPr>
      </w:pPr>
      <w:r w:rsidRPr="001E353D">
        <w:rPr>
          <w:rFonts w:eastAsia="Calibri" w:cs="Times New Roman"/>
          <w:b/>
        </w:rPr>
        <w:t>Laboratory</w:t>
      </w:r>
    </w:p>
    <w:p w14:paraId="1E2DC15D" w14:textId="4613C82C" w:rsidR="001E353D" w:rsidRPr="0046361A" w:rsidRDefault="001E353D" w:rsidP="00A65D8E">
      <w:pPr>
        <w:pStyle w:val="NoSpacing"/>
        <w:jc w:val="center"/>
        <w:rPr>
          <w:rFonts w:eastAsia="Calibri" w:cs="Times New Roman"/>
          <w:iCs/>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20"/>
        <w:gridCol w:w="1530"/>
        <w:gridCol w:w="2070"/>
        <w:gridCol w:w="1440"/>
      </w:tblGrid>
      <w:tr w:rsidR="00534B21" w:rsidRPr="001E353D" w14:paraId="3F4EF573" w14:textId="77777777" w:rsidTr="0046361A">
        <w:tc>
          <w:tcPr>
            <w:tcW w:w="2700" w:type="dxa"/>
            <w:shd w:val="clear" w:color="auto" w:fill="auto"/>
          </w:tcPr>
          <w:p w14:paraId="5C5FC3EE" w14:textId="77777777" w:rsidR="00534B21" w:rsidRPr="003E4884" w:rsidRDefault="00534B21" w:rsidP="001E353D">
            <w:pPr>
              <w:pStyle w:val="NoSpacing"/>
              <w:jc w:val="center"/>
              <w:rPr>
                <w:b/>
              </w:rPr>
            </w:pPr>
            <w:r w:rsidRPr="003E4884">
              <w:rPr>
                <w:b/>
              </w:rPr>
              <w:t>Test</w:t>
            </w:r>
          </w:p>
        </w:tc>
        <w:tc>
          <w:tcPr>
            <w:tcW w:w="1620" w:type="dxa"/>
            <w:shd w:val="clear" w:color="auto" w:fill="auto"/>
          </w:tcPr>
          <w:p w14:paraId="60EC75AC" w14:textId="68A32F77" w:rsidR="00534B21" w:rsidRPr="003E4884" w:rsidRDefault="00534B21" w:rsidP="001E353D">
            <w:pPr>
              <w:pStyle w:val="NoSpacing"/>
              <w:jc w:val="center"/>
              <w:rPr>
                <w:b/>
              </w:rPr>
            </w:pPr>
            <w:r w:rsidRPr="003E4884">
              <w:rPr>
                <w:b/>
              </w:rPr>
              <w:t>Date</w:t>
            </w:r>
          </w:p>
        </w:tc>
        <w:tc>
          <w:tcPr>
            <w:tcW w:w="1530" w:type="dxa"/>
            <w:shd w:val="clear" w:color="auto" w:fill="auto"/>
          </w:tcPr>
          <w:p w14:paraId="6A6B3D1F" w14:textId="77777777" w:rsidR="00534B21" w:rsidRPr="003E4884" w:rsidRDefault="00534B21" w:rsidP="001E353D">
            <w:pPr>
              <w:pStyle w:val="NoSpacing"/>
              <w:jc w:val="center"/>
              <w:rPr>
                <w:b/>
              </w:rPr>
            </w:pPr>
            <w:r w:rsidRPr="003E4884">
              <w:rPr>
                <w:b/>
              </w:rPr>
              <w:t>Result</w:t>
            </w:r>
          </w:p>
        </w:tc>
        <w:tc>
          <w:tcPr>
            <w:tcW w:w="2070" w:type="dxa"/>
            <w:shd w:val="clear" w:color="auto" w:fill="auto"/>
          </w:tcPr>
          <w:p w14:paraId="2F14AED8" w14:textId="77777777" w:rsidR="00534B21" w:rsidRPr="003E4884" w:rsidRDefault="006654CD" w:rsidP="001E353D">
            <w:pPr>
              <w:pStyle w:val="NoSpacing"/>
              <w:jc w:val="center"/>
              <w:rPr>
                <w:b/>
              </w:rPr>
            </w:pPr>
            <w:r w:rsidRPr="003E4884">
              <w:rPr>
                <w:b/>
              </w:rPr>
              <w:t>Reference Range</w:t>
            </w:r>
          </w:p>
        </w:tc>
        <w:tc>
          <w:tcPr>
            <w:tcW w:w="1440" w:type="dxa"/>
          </w:tcPr>
          <w:p w14:paraId="4784737A" w14:textId="77777777" w:rsidR="00534B21" w:rsidRPr="003E4884" w:rsidRDefault="00534B21" w:rsidP="001E353D">
            <w:pPr>
              <w:pStyle w:val="NoSpacing"/>
              <w:jc w:val="center"/>
              <w:rPr>
                <w:b/>
              </w:rPr>
            </w:pPr>
            <w:r w:rsidRPr="003E4884">
              <w:rPr>
                <w:b/>
              </w:rPr>
              <w:t>Page</w:t>
            </w:r>
          </w:p>
        </w:tc>
      </w:tr>
      <w:tr w:rsidR="00534B21" w:rsidRPr="00534B21" w14:paraId="355DBB06" w14:textId="77777777" w:rsidTr="0046361A">
        <w:tc>
          <w:tcPr>
            <w:tcW w:w="2700" w:type="dxa"/>
            <w:shd w:val="clear" w:color="auto" w:fill="auto"/>
          </w:tcPr>
          <w:p w14:paraId="0F2E260D" w14:textId="77777777" w:rsidR="00534B21" w:rsidRPr="00534B21" w:rsidRDefault="00010605" w:rsidP="001E353D">
            <w:pPr>
              <w:pStyle w:val="NoSpacing"/>
            </w:pPr>
            <w:r>
              <w:t>Creatinine</w:t>
            </w:r>
          </w:p>
        </w:tc>
        <w:tc>
          <w:tcPr>
            <w:tcW w:w="1620" w:type="dxa"/>
            <w:shd w:val="clear" w:color="auto" w:fill="auto"/>
          </w:tcPr>
          <w:p w14:paraId="78768641" w14:textId="77777777" w:rsidR="00534B21" w:rsidRPr="00534B21" w:rsidRDefault="00534B21" w:rsidP="001E353D">
            <w:pPr>
              <w:pStyle w:val="NoSpacing"/>
            </w:pPr>
          </w:p>
        </w:tc>
        <w:tc>
          <w:tcPr>
            <w:tcW w:w="1530" w:type="dxa"/>
            <w:shd w:val="clear" w:color="auto" w:fill="auto"/>
          </w:tcPr>
          <w:p w14:paraId="76095B07" w14:textId="77777777" w:rsidR="00534B21" w:rsidRPr="001E353D" w:rsidRDefault="00534B21" w:rsidP="001E353D">
            <w:pPr>
              <w:pStyle w:val="NoSpacing"/>
              <w:rPr>
                <w:b/>
              </w:rPr>
            </w:pPr>
          </w:p>
        </w:tc>
        <w:tc>
          <w:tcPr>
            <w:tcW w:w="2070" w:type="dxa"/>
          </w:tcPr>
          <w:p w14:paraId="5FF61FA4" w14:textId="77777777" w:rsidR="00534B21" w:rsidRPr="00B355EE" w:rsidRDefault="00010605" w:rsidP="001E353D">
            <w:pPr>
              <w:pStyle w:val="NoSpacing"/>
              <w:rPr>
                <w:iCs/>
                <w:color w:val="FF0000"/>
              </w:rPr>
            </w:pPr>
            <w:r w:rsidRPr="00B355EE">
              <w:rPr>
                <w:iCs/>
                <w:color w:val="FF0000"/>
              </w:rPr>
              <w:t>0.5-1.2 mg/dl</w:t>
            </w:r>
          </w:p>
        </w:tc>
        <w:tc>
          <w:tcPr>
            <w:tcW w:w="1440" w:type="dxa"/>
          </w:tcPr>
          <w:p w14:paraId="0028B96A" w14:textId="77777777" w:rsidR="00534B21" w:rsidRPr="00534B21" w:rsidRDefault="00534B21" w:rsidP="001E353D">
            <w:pPr>
              <w:pStyle w:val="NoSpacing"/>
              <w:jc w:val="center"/>
            </w:pPr>
          </w:p>
        </w:tc>
      </w:tr>
      <w:tr w:rsidR="00FD008E" w:rsidRPr="00534B21" w14:paraId="2C597876" w14:textId="77777777" w:rsidTr="0046361A">
        <w:tc>
          <w:tcPr>
            <w:tcW w:w="2700" w:type="dxa"/>
            <w:shd w:val="clear" w:color="auto" w:fill="auto"/>
          </w:tcPr>
          <w:p w14:paraId="6D35F6EC" w14:textId="58CFA2AC" w:rsidR="00FD008E" w:rsidRDefault="00FD008E" w:rsidP="00FD008E">
            <w:pPr>
              <w:pStyle w:val="NoSpacing"/>
            </w:pPr>
            <w:r>
              <w:t>BUN</w:t>
            </w:r>
          </w:p>
        </w:tc>
        <w:tc>
          <w:tcPr>
            <w:tcW w:w="1620" w:type="dxa"/>
            <w:shd w:val="clear" w:color="auto" w:fill="auto"/>
          </w:tcPr>
          <w:p w14:paraId="4A4EBF75" w14:textId="77777777" w:rsidR="00FD008E" w:rsidRPr="00534B21" w:rsidRDefault="00FD008E" w:rsidP="00FD008E">
            <w:pPr>
              <w:pStyle w:val="NoSpacing"/>
            </w:pPr>
          </w:p>
        </w:tc>
        <w:tc>
          <w:tcPr>
            <w:tcW w:w="1530" w:type="dxa"/>
            <w:shd w:val="clear" w:color="auto" w:fill="auto"/>
          </w:tcPr>
          <w:p w14:paraId="4A13D1EE" w14:textId="77777777" w:rsidR="00FD008E" w:rsidRPr="001E353D" w:rsidRDefault="00FD008E" w:rsidP="00FD008E">
            <w:pPr>
              <w:pStyle w:val="NoSpacing"/>
              <w:rPr>
                <w:b/>
              </w:rPr>
            </w:pPr>
          </w:p>
        </w:tc>
        <w:tc>
          <w:tcPr>
            <w:tcW w:w="2070" w:type="dxa"/>
          </w:tcPr>
          <w:p w14:paraId="75697CE9" w14:textId="30A07561" w:rsidR="00FD008E" w:rsidRDefault="00FD008E" w:rsidP="00FD008E">
            <w:pPr>
              <w:pStyle w:val="NoSpacing"/>
              <w:rPr>
                <w:iCs/>
              </w:rPr>
            </w:pPr>
            <w:r w:rsidRPr="00B355EE">
              <w:rPr>
                <w:iCs/>
                <w:color w:val="FF0000"/>
              </w:rPr>
              <w:t>6-20 mg/dl</w:t>
            </w:r>
          </w:p>
        </w:tc>
        <w:tc>
          <w:tcPr>
            <w:tcW w:w="1440" w:type="dxa"/>
          </w:tcPr>
          <w:p w14:paraId="6AE9F499" w14:textId="77777777" w:rsidR="00FD008E" w:rsidRPr="00534B21" w:rsidRDefault="00FD008E" w:rsidP="00FD008E">
            <w:pPr>
              <w:pStyle w:val="NoSpacing"/>
              <w:jc w:val="center"/>
            </w:pPr>
          </w:p>
        </w:tc>
      </w:tr>
      <w:tr w:rsidR="00FD008E" w:rsidRPr="00534B21" w14:paraId="6C3240CD" w14:textId="77777777" w:rsidTr="0046361A">
        <w:tc>
          <w:tcPr>
            <w:tcW w:w="2700" w:type="dxa"/>
            <w:shd w:val="clear" w:color="auto" w:fill="auto"/>
          </w:tcPr>
          <w:p w14:paraId="67DCB2C4" w14:textId="7FA95210" w:rsidR="00FD008E" w:rsidRPr="00534B21" w:rsidRDefault="00FD008E" w:rsidP="00FD008E">
            <w:pPr>
              <w:pStyle w:val="NoSpacing"/>
            </w:pPr>
            <w:r>
              <w:t>GFR</w:t>
            </w:r>
          </w:p>
        </w:tc>
        <w:tc>
          <w:tcPr>
            <w:tcW w:w="1620" w:type="dxa"/>
            <w:shd w:val="clear" w:color="auto" w:fill="auto"/>
          </w:tcPr>
          <w:p w14:paraId="18C2EC69" w14:textId="77777777" w:rsidR="00FD008E" w:rsidRPr="00534B21" w:rsidRDefault="00FD008E" w:rsidP="00FD008E">
            <w:pPr>
              <w:pStyle w:val="NoSpacing"/>
            </w:pPr>
          </w:p>
        </w:tc>
        <w:tc>
          <w:tcPr>
            <w:tcW w:w="1530" w:type="dxa"/>
            <w:shd w:val="clear" w:color="auto" w:fill="auto"/>
          </w:tcPr>
          <w:p w14:paraId="08F43E82" w14:textId="77777777" w:rsidR="00FD008E" w:rsidRPr="001E353D" w:rsidRDefault="00FD008E" w:rsidP="00FD008E">
            <w:pPr>
              <w:pStyle w:val="NoSpacing"/>
              <w:rPr>
                <w:b/>
              </w:rPr>
            </w:pPr>
          </w:p>
        </w:tc>
        <w:tc>
          <w:tcPr>
            <w:tcW w:w="2070" w:type="dxa"/>
          </w:tcPr>
          <w:p w14:paraId="1D0EA3D9" w14:textId="6594D98C" w:rsidR="00FD008E" w:rsidRPr="0046361A" w:rsidRDefault="00FD008E" w:rsidP="00FD008E">
            <w:pPr>
              <w:pStyle w:val="NoSpacing"/>
              <w:rPr>
                <w:iCs/>
              </w:rPr>
            </w:pPr>
            <w:r>
              <w:rPr>
                <w:iCs/>
              </w:rPr>
              <w:t>&gt;60</w:t>
            </w:r>
          </w:p>
        </w:tc>
        <w:tc>
          <w:tcPr>
            <w:tcW w:w="1440" w:type="dxa"/>
          </w:tcPr>
          <w:p w14:paraId="55B06C29" w14:textId="77777777" w:rsidR="00FD008E" w:rsidRPr="00534B21" w:rsidRDefault="00FD008E" w:rsidP="00FD008E">
            <w:pPr>
              <w:pStyle w:val="NoSpacing"/>
              <w:jc w:val="center"/>
            </w:pPr>
          </w:p>
        </w:tc>
      </w:tr>
    </w:tbl>
    <w:p w14:paraId="5EECE57E" w14:textId="77777777" w:rsidR="00534B21" w:rsidRPr="00534B21" w:rsidRDefault="00534B21" w:rsidP="00534B21">
      <w:pPr>
        <w:spacing w:after="0" w:line="240" w:lineRule="auto"/>
        <w:rPr>
          <w:rFonts w:ascii="Times New Roman" w:eastAsia="Calibri" w:hAnsi="Times New Roman" w:cs="Times New Roman"/>
          <w:b/>
          <w:bCs/>
          <w:i/>
          <w:iCs/>
          <w:sz w:val="24"/>
          <w:szCs w:val="24"/>
          <w:u w:val="single"/>
        </w:rPr>
      </w:pPr>
    </w:p>
    <w:p w14:paraId="412CF7B4" w14:textId="77777777" w:rsidR="00534B21" w:rsidRPr="00534B21" w:rsidRDefault="00534B21" w:rsidP="006654CD">
      <w:pPr>
        <w:spacing w:after="0" w:line="240" w:lineRule="auto"/>
        <w:rPr>
          <w:rFonts w:ascii="Times New Roman" w:eastAsia="Calibri" w:hAnsi="Times New Roman" w:cs="Times New Roman"/>
          <w:sz w:val="24"/>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20"/>
        <w:gridCol w:w="1530"/>
        <w:gridCol w:w="2070"/>
        <w:gridCol w:w="1440"/>
      </w:tblGrid>
      <w:tr w:rsidR="006654CD" w:rsidRPr="0045700C" w14:paraId="3E521AA4" w14:textId="77777777" w:rsidTr="0046361A">
        <w:tc>
          <w:tcPr>
            <w:tcW w:w="2700" w:type="dxa"/>
            <w:shd w:val="clear" w:color="auto" w:fill="auto"/>
          </w:tcPr>
          <w:p w14:paraId="75278190" w14:textId="77777777" w:rsidR="006654CD" w:rsidRPr="0045700C" w:rsidRDefault="006654CD" w:rsidP="0045700C">
            <w:pPr>
              <w:pStyle w:val="NoSpacing"/>
              <w:jc w:val="center"/>
              <w:rPr>
                <w:b/>
              </w:rPr>
            </w:pPr>
            <w:r w:rsidRPr="0045700C">
              <w:rPr>
                <w:b/>
              </w:rPr>
              <w:t>Test</w:t>
            </w:r>
          </w:p>
        </w:tc>
        <w:tc>
          <w:tcPr>
            <w:tcW w:w="1620" w:type="dxa"/>
            <w:shd w:val="clear" w:color="auto" w:fill="auto"/>
          </w:tcPr>
          <w:p w14:paraId="07A274F7" w14:textId="4F7BA8EE" w:rsidR="006654CD" w:rsidRPr="0045700C" w:rsidRDefault="006654CD" w:rsidP="0045700C">
            <w:pPr>
              <w:pStyle w:val="NoSpacing"/>
              <w:jc w:val="center"/>
              <w:rPr>
                <w:b/>
              </w:rPr>
            </w:pPr>
            <w:r w:rsidRPr="0045700C">
              <w:rPr>
                <w:b/>
              </w:rPr>
              <w:t>Date</w:t>
            </w:r>
          </w:p>
        </w:tc>
        <w:tc>
          <w:tcPr>
            <w:tcW w:w="1530" w:type="dxa"/>
            <w:shd w:val="clear" w:color="auto" w:fill="auto"/>
          </w:tcPr>
          <w:p w14:paraId="7E6DE0BF" w14:textId="77777777" w:rsidR="006654CD" w:rsidRPr="0045700C" w:rsidRDefault="006654CD" w:rsidP="0045700C">
            <w:pPr>
              <w:pStyle w:val="NoSpacing"/>
              <w:jc w:val="center"/>
              <w:rPr>
                <w:b/>
              </w:rPr>
            </w:pPr>
            <w:r w:rsidRPr="0045700C">
              <w:rPr>
                <w:b/>
              </w:rPr>
              <w:t>Result</w:t>
            </w:r>
          </w:p>
        </w:tc>
        <w:tc>
          <w:tcPr>
            <w:tcW w:w="2070" w:type="dxa"/>
          </w:tcPr>
          <w:p w14:paraId="5854085B" w14:textId="77777777" w:rsidR="006654CD" w:rsidRPr="0045700C" w:rsidRDefault="006654CD" w:rsidP="000461EA">
            <w:pPr>
              <w:pStyle w:val="NoSpacing"/>
              <w:jc w:val="center"/>
              <w:rPr>
                <w:b/>
              </w:rPr>
            </w:pPr>
            <w:r w:rsidRPr="0045700C">
              <w:rPr>
                <w:b/>
              </w:rPr>
              <w:t xml:space="preserve">Findings indicative of ATN </w:t>
            </w:r>
          </w:p>
        </w:tc>
        <w:tc>
          <w:tcPr>
            <w:tcW w:w="1440" w:type="dxa"/>
          </w:tcPr>
          <w:p w14:paraId="2AD16666" w14:textId="77777777" w:rsidR="006654CD" w:rsidRPr="0045700C" w:rsidRDefault="006654CD" w:rsidP="0045700C">
            <w:pPr>
              <w:pStyle w:val="NoSpacing"/>
              <w:jc w:val="center"/>
              <w:rPr>
                <w:b/>
              </w:rPr>
            </w:pPr>
            <w:r w:rsidRPr="0045700C">
              <w:rPr>
                <w:b/>
              </w:rPr>
              <w:t>Page</w:t>
            </w:r>
          </w:p>
        </w:tc>
      </w:tr>
      <w:tr w:rsidR="001A7607" w:rsidRPr="00534B21" w14:paraId="0FC33A80" w14:textId="77777777" w:rsidTr="0046361A">
        <w:tc>
          <w:tcPr>
            <w:tcW w:w="2700" w:type="dxa"/>
            <w:shd w:val="clear" w:color="auto" w:fill="auto"/>
          </w:tcPr>
          <w:p w14:paraId="6ED4D945" w14:textId="77777777" w:rsidR="001A7607" w:rsidRPr="00534B21" w:rsidRDefault="003978A7" w:rsidP="0045700C">
            <w:pPr>
              <w:pStyle w:val="NoSpacing"/>
            </w:pPr>
            <w:r>
              <w:t>Fractional excretion of Sodium (FENa)</w:t>
            </w:r>
            <w:r w:rsidR="00BF247D">
              <w:t xml:space="preserve"> (%)</w:t>
            </w:r>
            <w:r w:rsidR="009050B4">
              <w:t>*</w:t>
            </w:r>
            <w:r w:rsidR="001A7607" w:rsidRPr="00534B21">
              <w:t xml:space="preserve"> </w:t>
            </w:r>
          </w:p>
        </w:tc>
        <w:tc>
          <w:tcPr>
            <w:tcW w:w="1620" w:type="dxa"/>
            <w:shd w:val="clear" w:color="auto" w:fill="auto"/>
          </w:tcPr>
          <w:p w14:paraId="76A02825" w14:textId="77777777" w:rsidR="001A7607" w:rsidRPr="00534B21" w:rsidRDefault="001A7607" w:rsidP="0045700C">
            <w:pPr>
              <w:pStyle w:val="NoSpacing"/>
            </w:pPr>
          </w:p>
        </w:tc>
        <w:tc>
          <w:tcPr>
            <w:tcW w:w="1530" w:type="dxa"/>
            <w:shd w:val="clear" w:color="auto" w:fill="auto"/>
          </w:tcPr>
          <w:p w14:paraId="79310BD9" w14:textId="77777777" w:rsidR="001A7607" w:rsidRPr="0045700C" w:rsidRDefault="001A7607" w:rsidP="0045700C">
            <w:pPr>
              <w:pStyle w:val="NoSpacing"/>
              <w:rPr>
                <w:b/>
              </w:rPr>
            </w:pPr>
          </w:p>
        </w:tc>
        <w:tc>
          <w:tcPr>
            <w:tcW w:w="2070" w:type="dxa"/>
          </w:tcPr>
          <w:p w14:paraId="69A08023" w14:textId="77777777" w:rsidR="001A7607" w:rsidRPr="00534B21" w:rsidRDefault="006654CD" w:rsidP="0045700C">
            <w:pPr>
              <w:pStyle w:val="NoSpacing"/>
            </w:pPr>
            <w:r>
              <w:t>&gt;</w:t>
            </w:r>
            <w:r w:rsidR="001A7607" w:rsidRPr="00534B21">
              <w:t>2</w:t>
            </w:r>
          </w:p>
        </w:tc>
        <w:tc>
          <w:tcPr>
            <w:tcW w:w="1440" w:type="dxa"/>
          </w:tcPr>
          <w:p w14:paraId="4D60A5BE" w14:textId="77777777" w:rsidR="001A7607" w:rsidRPr="00534B21" w:rsidRDefault="001A7607" w:rsidP="0045700C">
            <w:pPr>
              <w:pStyle w:val="NoSpacing"/>
              <w:jc w:val="center"/>
            </w:pPr>
          </w:p>
        </w:tc>
      </w:tr>
      <w:tr w:rsidR="006654CD" w:rsidRPr="00534B21" w14:paraId="0FFDCF90" w14:textId="77777777" w:rsidTr="0046361A">
        <w:tc>
          <w:tcPr>
            <w:tcW w:w="2700" w:type="dxa"/>
            <w:shd w:val="clear" w:color="auto" w:fill="auto"/>
          </w:tcPr>
          <w:p w14:paraId="4FA7F71F" w14:textId="77777777" w:rsidR="006654CD" w:rsidRPr="00534B21" w:rsidRDefault="006654CD" w:rsidP="0045700C">
            <w:pPr>
              <w:pStyle w:val="NoSpacing"/>
            </w:pPr>
            <w:r>
              <w:t>Fractional excretion of urea (%)</w:t>
            </w:r>
            <w:r w:rsidR="009050B4">
              <w:t>*</w:t>
            </w:r>
          </w:p>
        </w:tc>
        <w:tc>
          <w:tcPr>
            <w:tcW w:w="1620" w:type="dxa"/>
            <w:shd w:val="clear" w:color="auto" w:fill="auto"/>
          </w:tcPr>
          <w:p w14:paraId="79C04A0F" w14:textId="77777777" w:rsidR="006654CD" w:rsidRPr="00534B21" w:rsidRDefault="006654CD" w:rsidP="0045700C">
            <w:pPr>
              <w:pStyle w:val="NoSpacing"/>
            </w:pPr>
          </w:p>
        </w:tc>
        <w:tc>
          <w:tcPr>
            <w:tcW w:w="1530" w:type="dxa"/>
            <w:shd w:val="clear" w:color="auto" w:fill="auto"/>
          </w:tcPr>
          <w:p w14:paraId="60E60D92" w14:textId="77777777" w:rsidR="006654CD" w:rsidRPr="0045700C" w:rsidRDefault="006654CD" w:rsidP="0045700C">
            <w:pPr>
              <w:pStyle w:val="NoSpacing"/>
              <w:rPr>
                <w:b/>
              </w:rPr>
            </w:pPr>
          </w:p>
        </w:tc>
        <w:tc>
          <w:tcPr>
            <w:tcW w:w="2070" w:type="dxa"/>
          </w:tcPr>
          <w:p w14:paraId="74A37812" w14:textId="77777777" w:rsidR="006654CD" w:rsidRDefault="006654CD" w:rsidP="0045700C">
            <w:pPr>
              <w:pStyle w:val="NoSpacing"/>
            </w:pPr>
            <w:r>
              <w:t>&gt;50</w:t>
            </w:r>
          </w:p>
        </w:tc>
        <w:tc>
          <w:tcPr>
            <w:tcW w:w="1440" w:type="dxa"/>
          </w:tcPr>
          <w:p w14:paraId="3E42492B" w14:textId="77777777" w:rsidR="006654CD" w:rsidRPr="00534B21" w:rsidRDefault="006654CD" w:rsidP="0045700C">
            <w:pPr>
              <w:pStyle w:val="NoSpacing"/>
              <w:jc w:val="center"/>
            </w:pPr>
          </w:p>
        </w:tc>
      </w:tr>
      <w:tr w:rsidR="006654CD" w:rsidRPr="00534B21" w14:paraId="055141EB" w14:textId="77777777" w:rsidTr="0046361A">
        <w:tc>
          <w:tcPr>
            <w:tcW w:w="2700" w:type="dxa"/>
            <w:shd w:val="clear" w:color="auto" w:fill="auto"/>
          </w:tcPr>
          <w:p w14:paraId="17109218" w14:textId="77777777" w:rsidR="006654CD" w:rsidRPr="00534B21" w:rsidRDefault="006654CD" w:rsidP="0045700C">
            <w:pPr>
              <w:pStyle w:val="NoSpacing"/>
            </w:pPr>
            <w:r>
              <w:t>Urine sediment</w:t>
            </w:r>
          </w:p>
        </w:tc>
        <w:tc>
          <w:tcPr>
            <w:tcW w:w="1620" w:type="dxa"/>
            <w:shd w:val="clear" w:color="auto" w:fill="auto"/>
          </w:tcPr>
          <w:p w14:paraId="71C160D5" w14:textId="77777777" w:rsidR="006654CD" w:rsidRPr="00534B21" w:rsidRDefault="006654CD" w:rsidP="0045700C">
            <w:pPr>
              <w:pStyle w:val="NoSpacing"/>
            </w:pPr>
          </w:p>
        </w:tc>
        <w:tc>
          <w:tcPr>
            <w:tcW w:w="1530" w:type="dxa"/>
            <w:shd w:val="clear" w:color="auto" w:fill="auto"/>
          </w:tcPr>
          <w:p w14:paraId="22ACBB79" w14:textId="77777777" w:rsidR="006654CD" w:rsidRPr="0045700C" w:rsidRDefault="006654CD" w:rsidP="0045700C">
            <w:pPr>
              <w:pStyle w:val="NoSpacing"/>
              <w:rPr>
                <w:b/>
              </w:rPr>
            </w:pPr>
          </w:p>
        </w:tc>
        <w:tc>
          <w:tcPr>
            <w:tcW w:w="2070" w:type="dxa"/>
          </w:tcPr>
          <w:p w14:paraId="57A0E09B" w14:textId="77777777" w:rsidR="006654CD" w:rsidRDefault="006654CD" w:rsidP="0045700C">
            <w:pPr>
              <w:pStyle w:val="NoSpacing"/>
            </w:pPr>
            <w:r>
              <w:t>May sh</w:t>
            </w:r>
            <w:r w:rsidR="003978A7">
              <w:t>ow muddy brown granular casts*</w:t>
            </w:r>
            <w:r w:rsidR="009050B4">
              <w:t>*</w:t>
            </w:r>
          </w:p>
        </w:tc>
        <w:tc>
          <w:tcPr>
            <w:tcW w:w="1440" w:type="dxa"/>
          </w:tcPr>
          <w:p w14:paraId="51D5775E" w14:textId="77777777" w:rsidR="006654CD" w:rsidRPr="00534B21" w:rsidRDefault="006654CD" w:rsidP="0045700C">
            <w:pPr>
              <w:pStyle w:val="NoSpacing"/>
              <w:jc w:val="center"/>
            </w:pPr>
          </w:p>
        </w:tc>
      </w:tr>
    </w:tbl>
    <w:p w14:paraId="195A9603" w14:textId="77777777" w:rsidR="009050B4" w:rsidRPr="009050B4" w:rsidRDefault="009050B4" w:rsidP="004579D2">
      <w:pPr>
        <w:pStyle w:val="NoSpacing"/>
        <w:rPr>
          <w:lang w:val="en"/>
        </w:rPr>
      </w:pPr>
      <w:r>
        <w:rPr>
          <w:lang w:val="en"/>
        </w:rPr>
        <w:t>*</w:t>
      </w:r>
      <w:r w:rsidRPr="009050B4">
        <w:rPr>
          <w:lang w:val="en"/>
        </w:rPr>
        <w:t>Fractional excretion of a substance is calculated by the formula (U/P)z/(U/P)Cr × 100, where z is the substance, U and P represent urine and plasma concentrations</w:t>
      </w:r>
      <w:r>
        <w:rPr>
          <w:lang w:val="en"/>
        </w:rPr>
        <w:t>, and Cr stands for creatinine.</w:t>
      </w:r>
    </w:p>
    <w:p w14:paraId="4339A910" w14:textId="77777777" w:rsidR="003978A7" w:rsidRDefault="006654CD" w:rsidP="004579D2">
      <w:pPr>
        <w:pStyle w:val="NoSpacing"/>
        <w:rPr>
          <w:rFonts w:eastAsia="Calibri"/>
          <w:bCs/>
          <w:i/>
          <w:iCs/>
        </w:rPr>
      </w:pPr>
      <w:r>
        <w:rPr>
          <w:rFonts w:eastAsia="Calibri"/>
          <w:bCs/>
          <w:i/>
          <w:iCs/>
        </w:rPr>
        <w:t>*</w:t>
      </w:r>
      <w:r w:rsidR="009050B4">
        <w:rPr>
          <w:rFonts w:eastAsia="Calibri"/>
          <w:bCs/>
          <w:i/>
          <w:iCs/>
        </w:rPr>
        <w:t>*</w:t>
      </w:r>
      <w:r w:rsidRPr="008A3819">
        <w:rPr>
          <w:rFonts w:eastAsia="Calibri"/>
          <w:bCs/>
          <w:iCs/>
        </w:rPr>
        <w:t xml:space="preserve">Casts </w:t>
      </w:r>
      <w:r w:rsidR="000461EA">
        <w:rPr>
          <w:rFonts w:eastAsia="Calibri"/>
          <w:bCs/>
          <w:iCs/>
        </w:rPr>
        <w:t>present only in “extreme” cases of</w:t>
      </w:r>
      <w:r w:rsidRPr="008A3819">
        <w:rPr>
          <w:rFonts w:eastAsia="Calibri"/>
          <w:bCs/>
          <w:iCs/>
        </w:rPr>
        <w:t xml:space="preserve"> ATN</w:t>
      </w:r>
    </w:p>
    <w:p w14:paraId="16179897" w14:textId="77777777" w:rsidR="00224096" w:rsidRPr="00224096" w:rsidRDefault="00224096" w:rsidP="004579D2">
      <w:pPr>
        <w:pStyle w:val="NoSpacing"/>
        <w:rPr>
          <w:rFonts w:eastAsia="Calibri"/>
          <w:bCs/>
          <w:i/>
          <w:iCs/>
        </w:rPr>
      </w:pPr>
    </w:p>
    <w:p w14:paraId="2245A12A" w14:textId="77777777" w:rsidR="00552964" w:rsidRPr="00552964" w:rsidRDefault="00552964" w:rsidP="004579D2">
      <w:pPr>
        <w:pStyle w:val="NoSpacing"/>
        <w:jc w:val="center"/>
        <w:rPr>
          <w:rFonts w:eastAsia="Calibri"/>
          <w:b/>
        </w:rPr>
      </w:pPr>
      <w:r w:rsidRPr="00552964">
        <w:rPr>
          <w:rFonts w:eastAsia="Calibri"/>
          <w:b/>
        </w:rPr>
        <w:t>Radiology</w:t>
      </w:r>
    </w:p>
    <w:p w14:paraId="64448699" w14:textId="77777777" w:rsidR="00552964" w:rsidRPr="00552964" w:rsidRDefault="00552964" w:rsidP="004579D2">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620"/>
        <w:gridCol w:w="3600"/>
        <w:gridCol w:w="1435"/>
      </w:tblGrid>
      <w:tr w:rsidR="00552964" w:rsidRPr="004579D2" w14:paraId="5354777C" w14:textId="77777777" w:rsidTr="0046361A">
        <w:trPr>
          <w:trHeight w:val="311"/>
          <w:jc w:val="center"/>
        </w:trPr>
        <w:tc>
          <w:tcPr>
            <w:tcW w:w="2695" w:type="dxa"/>
            <w:shd w:val="clear" w:color="auto" w:fill="auto"/>
          </w:tcPr>
          <w:p w14:paraId="33EC7A38" w14:textId="77777777" w:rsidR="00552964" w:rsidRPr="004579D2" w:rsidRDefault="00552964" w:rsidP="004579D2">
            <w:pPr>
              <w:pStyle w:val="NoSpacing"/>
              <w:jc w:val="center"/>
              <w:rPr>
                <w:b/>
              </w:rPr>
            </w:pPr>
            <w:r w:rsidRPr="004579D2">
              <w:rPr>
                <w:b/>
              </w:rPr>
              <w:lastRenderedPageBreak/>
              <w:t>Test</w:t>
            </w:r>
          </w:p>
        </w:tc>
        <w:tc>
          <w:tcPr>
            <w:tcW w:w="1620" w:type="dxa"/>
            <w:shd w:val="clear" w:color="auto" w:fill="auto"/>
          </w:tcPr>
          <w:p w14:paraId="121979A2" w14:textId="51A48AD1" w:rsidR="00552964" w:rsidRPr="004579D2" w:rsidRDefault="00552964" w:rsidP="004579D2">
            <w:pPr>
              <w:pStyle w:val="NoSpacing"/>
              <w:jc w:val="center"/>
              <w:rPr>
                <w:b/>
              </w:rPr>
            </w:pPr>
            <w:r w:rsidRPr="004579D2">
              <w:rPr>
                <w:b/>
              </w:rPr>
              <w:t>Date</w:t>
            </w:r>
          </w:p>
        </w:tc>
        <w:tc>
          <w:tcPr>
            <w:tcW w:w="3600" w:type="dxa"/>
            <w:shd w:val="clear" w:color="auto" w:fill="auto"/>
          </w:tcPr>
          <w:p w14:paraId="765BF3AC" w14:textId="77777777" w:rsidR="00552964" w:rsidRPr="004579D2" w:rsidRDefault="00552964" w:rsidP="004579D2">
            <w:pPr>
              <w:pStyle w:val="NoSpacing"/>
              <w:jc w:val="center"/>
              <w:rPr>
                <w:b/>
              </w:rPr>
            </w:pPr>
            <w:r w:rsidRPr="004579D2">
              <w:rPr>
                <w:b/>
              </w:rPr>
              <w:t>Findings</w:t>
            </w:r>
          </w:p>
        </w:tc>
        <w:tc>
          <w:tcPr>
            <w:tcW w:w="1435" w:type="dxa"/>
          </w:tcPr>
          <w:p w14:paraId="409FF3B0" w14:textId="77777777" w:rsidR="00552964" w:rsidRPr="004579D2" w:rsidRDefault="00552964" w:rsidP="004579D2">
            <w:pPr>
              <w:pStyle w:val="NoSpacing"/>
              <w:jc w:val="center"/>
              <w:rPr>
                <w:b/>
              </w:rPr>
            </w:pPr>
            <w:r w:rsidRPr="004579D2">
              <w:rPr>
                <w:b/>
              </w:rPr>
              <w:t>Page</w:t>
            </w:r>
          </w:p>
        </w:tc>
      </w:tr>
      <w:tr w:rsidR="00552964" w:rsidRPr="00552964" w14:paraId="0DE2E8D7" w14:textId="77777777" w:rsidTr="0046361A">
        <w:trPr>
          <w:trHeight w:val="332"/>
          <w:jc w:val="center"/>
        </w:trPr>
        <w:tc>
          <w:tcPr>
            <w:tcW w:w="2695" w:type="dxa"/>
            <w:shd w:val="clear" w:color="auto" w:fill="auto"/>
          </w:tcPr>
          <w:p w14:paraId="6A78B400" w14:textId="16C3DC5D" w:rsidR="00552964" w:rsidRPr="00552964" w:rsidRDefault="00552964" w:rsidP="004579D2">
            <w:pPr>
              <w:pStyle w:val="NoSpacing"/>
            </w:pPr>
          </w:p>
        </w:tc>
        <w:tc>
          <w:tcPr>
            <w:tcW w:w="1620" w:type="dxa"/>
            <w:shd w:val="clear" w:color="auto" w:fill="auto"/>
          </w:tcPr>
          <w:p w14:paraId="339E49AE" w14:textId="77777777" w:rsidR="00552964" w:rsidRPr="00552964" w:rsidRDefault="00552964" w:rsidP="004579D2">
            <w:pPr>
              <w:pStyle w:val="NoSpacing"/>
            </w:pPr>
          </w:p>
        </w:tc>
        <w:tc>
          <w:tcPr>
            <w:tcW w:w="3600" w:type="dxa"/>
            <w:shd w:val="clear" w:color="auto" w:fill="auto"/>
          </w:tcPr>
          <w:p w14:paraId="5A7D5E58" w14:textId="77777777" w:rsidR="00552964" w:rsidRPr="004579D2" w:rsidRDefault="00552964" w:rsidP="004579D2">
            <w:pPr>
              <w:pStyle w:val="NoSpacing"/>
              <w:rPr>
                <w:b/>
              </w:rPr>
            </w:pPr>
          </w:p>
        </w:tc>
        <w:tc>
          <w:tcPr>
            <w:tcW w:w="1435" w:type="dxa"/>
          </w:tcPr>
          <w:p w14:paraId="16993069" w14:textId="77777777" w:rsidR="00552964" w:rsidRPr="00552964" w:rsidRDefault="00552964" w:rsidP="004579D2">
            <w:pPr>
              <w:pStyle w:val="NoSpacing"/>
              <w:jc w:val="center"/>
            </w:pPr>
          </w:p>
        </w:tc>
      </w:tr>
      <w:tr w:rsidR="00552964" w:rsidRPr="00552964" w14:paraId="7AD1E4B1" w14:textId="77777777" w:rsidTr="0046361A">
        <w:trPr>
          <w:trHeight w:val="350"/>
          <w:jc w:val="center"/>
        </w:trPr>
        <w:tc>
          <w:tcPr>
            <w:tcW w:w="2695" w:type="dxa"/>
            <w:shd w:val="clear" w:color="auto" w:fill="auto"/>
          </w:tcPr>
          <w:p w14:paraId="550B3887" w14:textId="72E99241" w:rsidR="00552964" w:rsidRPr="00552964" w:rsidRDefault="00552964" w:rsidP="004579D2">
            <w:pPr>
              <w:pStyle w:val="NoSpacing"/>
            </w:pPr>
          </w:p>
        </w:tc>
        <w:tc>
          <w:tcPr>
            <w:tcW w:w="1620" w:type="dxa"/>
            <w:shd w:val="clear" w:color="auto" w:fill="auto"/>
          </w:tcPr>
          <w:p w14:paraId="2A846444" w14:textId="77777777" w:rsidR="00552964" w:rsidRPr="00552964" w:rsidRDefault="00552964" w:rsidP="004579D2">
            <w:pPr>
              <w:pStyle w:val="NoSpacing"/>
            </w:pPr>
          </w:p>
        </w:tc>
        <w:tc>
          <w:tcPr>
            <w:tcW w:w="3600" w:type="dxa"/>
            <w:shd w:val="clear" w:color="auto" w:fill="auto"/>
          </w:tcPr>
          <w:p w14:paraId="34075AA6" w14:textId="77777777" w:rsidR="00552964" w:rsidRPr="004579D2" w:rsidRDefault="00552964" w:rsidP="004579D2">
            <w:pPr>
              <w:pStyle w:val="NoSpacing"/>
              <w:rPr>
                <w:b/>
              </w:rPr>
            </w:pPr>
          </w:p>
        </w:tc>
        <w:tc>
          <w:tcPr>
            <w:tcW w:w="1435" w:type="dxa"/>
          </w:tcPr>
          <w:p w14:paraId="192D52E5" w14:textId="77777777" w:rsidR="00552964" w:rsidRPr="00552964" w:rsidRDefault="00552964" w:rsidP="004579D2">
            <w:pPr>
              <w:pStyle w:val="NoSpacing"/>
              <w:jc w:val="center"/>
            </w:pPr>
          </w:p>
        </w:tc>
      </w:tr>
      <w:tr w:rsidR="00534B21" w:rsidRPr="00D04E66" w14:paraId="2E08B3CF" w14:textId="77777777" w:rsidTr="0046361A">
        <w:trPr>
          <w:trHeight w:val="350"/>
          <w:jc w:val="center"/>
        </w:trPr>
        <w:tc>
          <w:tcPr>
            <w:tcW w:w="2695" w:type="dxa"/>
            <w:tcBorders>
              <w:top w:val="single" w:sz="4" w:space="0" w:color="auto"/>
              <w:left w:val="single" w:sz="4" w:space="0" w:color="auto"/>
              <w:bottom w:val="single" w:sz="4" w:space="0" w:color="auto"/>
              <w:right w:val="single" w:sz="4" w:space="0" w:color="auto"/>
            </w:tcBorders>
            <w:shd w:val="clear" w:color="auto" w:fill="auto"/>
          </w:tcPr>
          <w:p w14:paraId="613F61C5" w14:textId="059CC9D8" w:rsidR="00534B21" w:rsidRPr="00534B21" w:rsidRDefault="00534B21" w:rsidP="004579D2">
            <w:pPr>
              <w:pStyle w:val="NoSpacing"/>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796ABFD" w14:textId="77777777" w:rsidR="00534B21" w:rsidRPr="00534B21" w:rsidRDefault="00534B21" w:rsidP="004579D2">
            <w:pPr>
              <w:pStyle w:val="NoSpacing"/>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A50F88E" w14:textId="77777777" w:rsidR="00534B21" w:rsidRPr="004579D2" w:rsidRDefault="00534B21" w:rsidP="004579D2">
            <w:pPr>
              <w:pStyle w:val="NoSpacing"/>
              <w:rPr>
                <w:b/>
              </w:rPr>
            </w:pP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1F5C2BCA" w14:textId="77777777" w:rsidR="00534B21" w:rsidRPr="00534B21" w:rsidRDefault="00534B21" w:rsidP="004579D2">
            <w:pPr>
              <w:pStyle w:val="NoSpacing"/>
              <w:jc w:val="center"/>
            </w:pPr>
          </w:p>
        </w:tc>
      </w:tr>
      <w:tr w:rsidR="00534B21" w:rsidRPr="00D04E66" w14:paraId="5B5D97C7" w14:textId="77777777" w:rsidTr="0046361A">
        <w:trPr>
          <w:trHeight w:val="350"/>
          <w:jc w:val="center"/>
        </w:trPr>
        <w:tc>
          <w:tcPr>
            <w:tcW w:w="2695" w:type="dxa"/>
            <w:tcBorders>
              <w:top w:val="single" w:sz="4" w:space="0" w:color="auto"/>
              <w:left w:val="single" w:sz="4" w:space="0" w:color="auto"/>
              <w:bottom w:val="single" w:sz="4" w:space="0" w:color="auto"/>
              <w:right w:val="single" w:sz="4" w:space="0" w:color="auto"/>
            </w:tcBorders>
            <w:shd w:val="clear" w:color="auto" w:fill="auto"/>
          </w:tcPr>
          <w:p w14:paraId="1EE6D45C" w14:textId="6AF80B41" w:rsidR="00534B21" w:rsidRPr="00534B21" w:rsidRDefault="00534B21" w:rsidP="004579D2">
            <w:pPr>
              <w:pStyle w:val="NoSpacing"/>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86D7DD4" w14:textId="77777777" w:rsidR="00534B21" w:rsidRPr="00534B21" w:rsidRDefault="00534B21" w:rsidP="004579D2">
            <w:pPr>
              <w:pStyle w:val="NoSpacing"/>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B80EE88" w14:textId="77777777" w:rsidR="00534B21" w:rsidRPr="004579D2" w:rsidRDefault="00534B21" w:rsidP="004579D2">
            <w:pPr>
              <w:pStyle w:val="NoSpacing"/>
              <w:rPr>
                <w:b/>
              </w:rPr>
            </w:pP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5C4B99F1" w14:textId="77777777" w:rsidR="00534B21" w:rsidRPr="00534B21" w:rsidRDefault="00534B21" w:rsidP="004579D2">
            <w:pPr>
              <w:pStyle w:val="NoSpacing"/>
              <w:jc w:val="center"/>
            </w:pPr>
          </w:p>
        </w:tc>
      </w:tr>
    </w:tbl>
    <w:p w14:paraId="30949658" w14:textId="77777777" w:rsidR="006D6284" w:rsidRDefault="006D6284" w:rsidP="00EA014A">
      <w:pPr>
        <w:pStyle w:val="NoSpacing"/>
      </w:pPr>
    </w:p>
    <w:p w14:paraId="5F64A980" w14:textId="2897F161" w:rsidR="007F346C" w:rsidRPr="0099404B" w:rsidRDefault="007F346C" w:rsidP="007F346C">
      <w:pPr>
        <w:pStyle w:val="NoSpacing"/>
        <w:jc w:val="center"/>
        <w:rPr>
          <w:rFonts w:eastAsia="Calibri" w:cs="Times New Roman"/>
          <w:b/>
        </w:rPr>
      </w:pPr>
      <w:r>
        <w:rPr>
          <w:rFonts w:eastAsia="Calibri" w:cs="Times New Roman"/>
          <w:b/>
        </w:rPr>
        <w:t xml:space="preserve">Clinical </w:t>
      </w:r>
      <w:r w:rsidRPr="0099404B">
        <w:rPr>
          <w:rFonts w:eastAsia="Calibri" w:cs="Times New Roman"/>
          <w:b/>
        </w:rPr>
        <w:t>Justification for Appeal</w:t>
      </w:r>
    </w:p>
    <w:p w14:paraId="6930086C" w14:textId="77777777" w:rsidR="00552964" w:rsidRPr="00552964" w:rsidRDefault="00552964" w:rsidP="00EA014A">
      <w:pPr>
        <w:pStyle w:val="NoSpacing"/>
      </w:pPr>
    </w:p>
    <w:p w14:paraId="72C0175C" w14:textId="7DED9E6F" w:rsidR="008F6B39" w:rsidRPr="008F74A1" w:rsidRDefault="00552964" w:rsidP="00EA014A">
      <w:pPr>
        <w:pStyle w:val="NoSpacing"/>
      </w:pPr>
      <w:r w:rsidRPr="00552964">
        <w:t xml:space="preserve">The arguments presented below justify the inclusion </w:t>
      </w:r>
      <w:r w:rsidRPr="008F74A1">
        <w:t xml:space="preserve">of </w:t>
      </w:r>
      <w:r w:rsidR="00103169" w:rsidRPr="008F74A1">
        <w:rPr>
          <w:color w:val="FF0000"/>
        </w:rPr>
        <w:t>acute kidney injury</w:t>
      </w:r>
      <w:r w:rsidR="00431DAC" w:rsidRPr="008F74A1">
        <w:rPr>
          <w:color w:val="FF0000"/>
        </w:rPr>
        <w:t xml:space="preserve">, </w:t>
      </w:r>
      <w:r w:rsidR="00FD008E" w:rsidRPr="008F74A1">
        <w:rPr>
          <w:color w:val="FF0000"/>
        </w:rPr>
        <w:t xml:space="preserve">acute renal failure, </w:t>
      </w:r>
      <w:r w:rsidR="00431DAC" w:rsidRPr="008F74A1">
        <w:rPr>
          <w:color w:val="FF0000"/>
        </w:rPr>
        <w:t>or</w:t>
      </w:r>
      <w:r w:rsidR="00103169" w:rsidRPr="008F74A1">
        <w:rPr>
          <w:color w:val="FF0000"/>
        </w:rPr>
        <w:t xml:space="preserve"> acute tubular necrosis</w:t>
      </w:r>
      <w:r w:rsidR="00087A36" w:rsidRPr="008F74A1">
        <w:rPr>
          <w:color w:val="FF0000"/>
        </w:rPr>
        <w:t xml:space="preserve"> </w:t>
      </w:r>
      <w:r w:rsidRPr="008F74A1">
        <w:t xml:space="preserve">as a valid diagnosis for the following reasons: </w:t>
      </w:r>
    </w:p>
    <w:p w14:paraId="4E4D157D" w14:textId="77777777" w:rsidR="008F6B39" w:rsidRPr="008F74A1" w:rsidRDefault="008F6B39" w:rsidP="00EA014A">
      <w:pPr>
        <w:pStyle w:val="NoSpacing"/>
      </w:pPr>
    </w:p>
    <w:p w14:paraId="23F93E42" w14:textId="5DD1783D" w:rsidR="00683E85" w:rsidRPr="008F74A1" w:rsidRDefault="00683E85" w:rsidP="00683E85">
      <w:pPr>
        <w:pStyle w:val="NoSpacing"/>
        <w:numPr>
          <w:ilvl w:val="0"/>
          <w:numId w:val="5"/>
        </w:numPr>
        <w:rPr>
          <w:color w:val="FF0000"/>
        </w:rPr>
      </w:pPr>
      <w:r w:rsidRPr="008F74A1">
        <w:t xml:space="preserve">The clinical information contained in the medical record is consistent with evidence-based guidelines for establishing the diagnosis. Per the medical record, the patient met the clinical criteria based on </w:t>
      </w:r>
      <w:r w:rsidRPr="008F74A1">
        <w:rPr>
          <w:color w:val="FF0000"/>
        </w:rPr>
        <w:t>briefly specify how the clinical criteria were met.  Delete any clinical criteria set that does not apply and bold any criteria the patient met.</w:t>
      </w:r>
    </w:p>
    <w:p w14:paraId="552AEFD5" w14:textId="77777777" w:rsidR="00683E85" w:rsidRPr="008F74A1" w:rsidRDefault="00683E85" w:rsidP="00683E85">
      <w:pPr>
        <w:pStyle w:val="NoSpacing"/>
        <w:ind w:left="810"/>
        <w:rPr>
          <w:color w:val="FF0000"/>
        </w:rPr>
      </w:pPr>
    </w:p>
    <w:p w14:paraId="278F1199" w14:textId="77777777" w:rsidR="00683E85" w:rsidRPr="00683E85" w:rsidRDefault="00683E85" w:rsidP="00683E85">
      <w:pPr>
        <w:spacing w:after="0" w:afterAutospacing="1" w:line="240" w:lineRule="auto"/>
        <w:jc w:val="center"/>
        <w:rPr>
          <w:rFonts w:ascii="Times New Roman" w:eastAsia="Times New Roman" w:hAnsi="Times New Roman" w:cs="Times New Roman"/>
          <w:b/>
          <w:sz w:val="24"/>
          <w:szCs w:val="24"/>
          <w:u w:val="single"/>
        </w:rPr>
      </w:pPr>
      <w:r w:rsidRPr="00683E85">
        <w:rPr>
          <w:rFonts w:ascii="Times New Roman" w:eastAsia="Times New Roman" w:hAnsi="Times New Roman" w:cs="Times New Roman"/>
          <w:b/>
          <w:sz w:val="24"/>
          <w:szCs w:val="24"/>
          <w:u w:val="single"/>
        </w:rPr>
        <w:t>KDIGO criteria</w:t>
      </w:r>
    </w:p>
    <w:p w14:paraId="36A2EC1B" w14:textId="77777777" w:rsidR="00683E85" w:rsidRPr="00683E85" w:rsidRDefault="00683E85" w:rsidP="00683E85">
      <w:pPr>
        <w:pStyle w:val="NoSpacing"/>
        <w:numPr>
          <w:ilvl w:val="0"/>
          <w:numId w:val="13"/>
        </w:numPr>
      </w:pPr>
      <w:r w:rsidRPr="00683E85">
        <w:t xml:space="preserve">Increase in serum creatinine by </w:t>
      </w:r>
      <w:r w:rsidRPr="00683E85">
        <w:rPr>
          <w:i/>
          <w:u w:val="single"/>
        </w:rPr>
        <w:t>&gt;</w:t>
      </w:r>
      <w:r w:rsidRPr="00683E85">
        <w:t xml:space="preserve"> 0.3 mg/dl within 48 hours </w:t>
      </w:r>
      <w:r w:rsidRPr="00683E85">
        <w:rPr>
          <w:b/>
        </w:rPr>
        <w:t>or</w:t>
      </w:r>
    </w:p>
    <w:p w14:paraId="23489343" w14:textId="77777777" w:rsidR="00683E85" w:rsidRPr="00683E85" w:rsidRDefault="00683E85" w:rsidP="00683E85">
      <w:pPr>
        <w:pStyle w:val="NoSpacing"/>
        <w:numPr>
          <w:ilvl w:val="0"/>
          <w:numId w:val="13"/>
        </w:numPr>
      </w:pPr>
      <w:r w:rsidRPr="00683E85">
        <w:t xml:space="preserve">Increase in serum creatinine to </w:t>
      </w:r>
      <w:r w:rsidRPr="00683E85">
        <w:rPr>
          <w:u w:val="single"/>
        </w:rPr>
        <w:t>&gt;</w:t>
      </w:r>
      <w:r w:rsidRPr="00683E85">
        <w:t xml:space="preserve"> 1.5 times baseline, known or presumed to have occurred within the prior 7 days </w:t>
      </w:r>
      <w:r w:rsidRPr="00683E85">
        <w:rPr>
          <w:b/>
        </w:rPr>
        <w:t>or</w:t>
      </w:r>
    </w:p>
    <w:p w14:paraId="324647CF" w14:textId="77777777" w:rsidR="00683E85" w:rsidRPr="00683E85" w:rsidRDefault="00683E85" w:rsidP="00683E85">
      <w:pPr>
        <w:pStyle w:val="NoSpacing"/>
        <w:numPr>
          <w:ilvl w:val="0"/>
          <w:numId w:val="13"/>
        </w:numPr>
      </w:pPr>
      <w:r w:rsidRPr="00683E85">
        <w:t>Urine volume &lt;0.5ml/kg/h for 6 hours</w:t>
      </w:r>
    </w:p>
    <w:p w14:paraId="4D3D9B34" w14:textId="77777777" w:rsidR="00683E85" w:rsidRPr="00683E85" w:rsidRDefault="00683E85" w:rsidP="00683E85">
      <w:pPr>
        <w:pStyle w:val="NoSpacing"/>
      </w:pPr>
    </w:p>
    <w:p w14:paraId="20E26B91" w14:textId="05D27C2E" w:rsidR="00683E85" w:rsidRPr="000A270B" w:rsidRDefault="00FD008E" w:rsidP="00683E85">
      <w:pPr>
        <w:spacing w:after="0" w:line="240" w:lineRule="auto"/>
        <w:ind w:firstLine="720"/>
        <w:rPr>
          <w:rFonts w:ascii="Times New Roman" w:eastAsia="Calibri" w:hAnsi="Times New Roman" w:cs="Times New Roman"/>
          <w:i/>
          <w:sz w:val="24"/>
        </w:rPr>
      </w:pPr>
      <w:r>
        <w:rPr>
          <w:rFonts w:ascii="Times New Roman" w:eastAsia="Calibri" w:hAnsi="Times New Roman" w:cs="Times New Roman"/>
          <w:color w:val="FF0000"/>
          <w:sz w:val="24"/>
          <w:szCs w:val="24"/>
        </w:rPr>
        <w:t>F</w:t>
      </w:r>
      <w:r w:rsidR="00683E85" w:rsidRPr="000A270B">
        <w:rPr>
          <w:rFonts w:ascii="Times New Roman" w:eastAsia="Calibri" w:hAnsi="Times New Roman" w:cs="Times New Roman"/>
          <w:color w:val="FF0000"/>
          <w:sz w:val="24"/>
          <w:szCs w:val="24"/>
        </w:rPr>
        <w:t>or ATN:</w:t>
      </w:r>
    </w:p>
    <w:p w14:paraId="294564D5" w14:textId="77777777" w:rsidR="00683E85" w:rsidRPr="004732BE" w:rsidRDefault="00683E85" w:rsidP="00683E85">
      <w:pPr>
        <w:numPr>
          <w:ilvl w:val="0"/>
          <w:numId w:val="4"/>
        </w:numPr>
        <w:spacing w:after="0" w:afterAutospacing="1" w:line="240" w:lineRule="auto"/>
        <w:rPr>
          <w:rFonts w:ascii="Times New Roman" w:eastAsia="Calibri" w:hAnsi="Times New Roman" w:cs="Times New Roman"/>
          <w:iCs/>
          <w:color w:val="FF0000"/>
          <w:sz w:val="24"/>
          <w:szCs w:val="24"/>
        </w:rPr>
      </w:pPr>
      <w:r w:rsidRPr="004732BE">
        <w:rPr>
          <w:rFonts w:ascii="Times New Roman" w:eastAsia="Calibri" w:hAnsi="Times New Roman" w:cs="Times New Roman"/>
          <w:iCs/>
          <w:color w:val="FF0000"/>
          <w:sz w:val="24"/>
          <w:szCs w:val="24"/>
        </w:rPr>
        <w:t>Markedly decreased GFR</w:t>
      </w:r>
    </w:p>
    <w:p w14:paraId="6639F9F9" w14:textId="77777777" w:rsidR="00683E85" w:rsidRPr="004732BE" w:rsidRDefault="00683E85" w:rsidP="00683E85">
      <w:pPr>
        <w:numPr>
          <w:ilvl w:val="0"/>
          <w:numId w:val="4"/>
        </w:numPr>
        <w:spacing w:after="0" w:afterAutospacing="1" w:line="240" w:lineRule="auto"/>
        <w:rPr>
          <w:rFonts w:ascii="Times New Roman" w:eastAsia="Calibri" w:hAnsi="Times New Roman" w:cs="Times New Roman"/>
          <w:iCs/>
          <w:color w:val="FF0000"/>
          <w:sz w:val="24"/>
          <w:szCs w:val="24"/>
        </w:rPr>
      </w:pPr>
      <w:r w:rsidRPr="004732BE">
        <w:rPr>
          <w:rFonts w:ascii="Times New Roman" w:eastAsia="Calibri" w:hAnsi="Times New Roman" w:cs="Times New Roman"/>
          <w:iCs/>
          <w:color w:val="FF0000"/>
          <w:sz w:val="24"/>
          <w:szCs w:val="24"/>
        </w:rPr>
        <w:t>Markedly elevated BUN/Creatinine levels</w:t>
      </w:r>
    </w:p>
    <w:p w14:paraId="5937A0F1" w14:textId="77777777" w:rsidR="00683E85" w:rsidRPr="004732BE" w:rsidRDefault="00683E85" w:rsidP="00683E85">
      <w:pPr>
        <w:numPr>
          <w:ilvl w:val="0"/>
          <w:numId w:val="4"/>
        </w:numPr>
        <w:spacing w:after="0" w:afterAutospacing="1" w:line="240" w:lineRule="auto"/>
        <w:rPr>
          <w:rFonts w:ascii="Times New Roman" w:eastAsia="Calibri" w:hAnsi="Times New Roman" w:cs="Times New Roman"/>
          <w:iCs/>
          <w:color w:val="FF0000"/>
          <w:sz w:val="24"/>
          <w:szCs w:val="24"/>
        </w:rPr>
      </w:pPr>
      <w:r w:rsidRPr="004732BE">
        <w:rPr>
          <w:rFonts w:ascii="Times New Roman" w:eastAsia="Times New Roman" w:hAnsi="Times New Roman" w:cs="Times New Roman"/>
          <w:iCs/>
          <w:color w:val="FF0000"/>
          <w:sz w:val="24"/>
          <w:szCs w:val="24"/>
          <w:lang w:val="en"/>
        </w:rPr>
        <w:t>Muddy brown casts in U/A</w:t>
      </w:r>
    </w:p>
    <w:p w14:paraId="46263570" w14:textId="77777777" w:rsidR="00683E85" w:rsidRPr="004732BE" w:rsidRDefault="00683E85" w:rsidP="00683E85">
      <w:pPr>
        <w:numPr>
          <w:ilvl w:val="0"/>
          <w:numId w:val="4"/>
        </w:numPr>
        <w:spacing w:after="0" w:afterAutospacing="1" w:line="240" w:lineRule="auto"/>
        <w:rPr>
          <w:rFonts w:ascii="Times New Roman" w:eastAsia="Calibri" w:hAnsi="Times New Roman" w:cs="Times New Roman"/>
          <w:iCs/>
          <w:color w:val="FF0000"/>
          <w:sz w:val="24"/>
          <w:szCs w:val="24"/>
        </w:rPr>
      </w:pPr>
      <w:r w:rsidRPr="004732BE">
        <w:rPr>
          <w:rFonts w:ascii="Times New Roman" w:eastAsia="Times New Roman" w:hAnsi="Times New Roman" w:cs="Times New Roman"/>
          <w:iCs/>
          <w:color w:val="FF0000"/>
          <w:sz w:val="24"/>
          <w:szCs w:val="24"/>
        </w:rPr>
        <w:t>Fractional excretion of sodium (FENa) &gt;2%</w:t>
      </w:r>
    </w:p>
    <w:p w14:paraId="294700DF" w14:textId="6F97E786" w:rsidR="00683E85" w:rsidRPr="004732BE" w:rsidRDefault="00683E85" w:rsidP="008F30BB">
      <w:pPr>
        <w:numPr>
          <w:ilvl w:val="0"/>
          <w:numId w:val="4"/>
        </w:numPr>
        <w:spacing w:after="0" w:afterAutospacing="1" w:line="240" w:lineRule="auto"/>
        <w:rPr>
          <w:rFonts w:ascii="Times New Roman" w:eastAsia="Calibri" w:hAnsi="Times New Roman" w:cs="Times New Roman"/>
          <w:iCs/>
          <w:color w:val="FF0000"/>
          <w:sz w:val="24"/>
        </w:rPr>
      </w:pPr>
      <w:r w:rsidRPr="004732BE">
        <w:rPr>
          <w:rFonts w:ascii="Times New Roman" w:eastAsia="Times New Roman" w:hAnsi="Times New Roman" w:cs="Times New Roman"/>
          <w:iCs/>
          <w:color w:val="FF0000"/>
          <w:sz w:val="24"/>
          <w:szCs w:val="24"/>
        </w:rPr>
        <w:t>Fractional excretion of urea &gt;50%</w:t>
      </w:r>
    </w:p>
    <w:p w14:paraId="263B13A9" w14:textId="7182E9DD" w:rsidR="00103169" w:rsidRPr="00A35510" w:rsidRDefault="007F6D8D" w:rsidP="00AF63CD">
      <w:pPr>
        <w:pStyle w:val="NoSpacing"/>
        <w:numPr>
          <w:ilvl w:val="0"/>
          <w:numId w:val="5"/>
        </w:numPr>
        <w:rPr>
          <w:rFonts w:cs="Times New Roman"/>
          <w:color w:val="FF0000"/>
          <w:szCs w:val="24"/>
        </w:rPr>
      </w:pPr>
      <w:r w:rsidRPr="00A35510">
        <w:rPr>
          <w:rFonts w:cs="Times New Roman"/>
          <w:color w:val="FF0000"/>
          <w:szCs w:val="24"/>
        </w:rPr>
        <w:t xml:space="preserve">As a term, </w:t>
      </w:r>
      <w:r w:rsidR="00CE0CFE" w:rsidRPr="00A35510">
        <w:rPr>
          <w:rFonts w:cs="Times New Roman"/>
          <w:color w:val="FF0000"/>
          <w:szCs w:val="24"/>
        </w:rPr>
        <w:t xml:space="preserve">acute kidney injury </w:t>
      </w:r>
      <w:r w:rsidRPr="00A35510">
        <w:rPr>
          <w:rFonts w:cs="Times New Roman"/>
          <w:color w:val="FF0000"/>
          <w:szCs w:val="24"/>
        </w:rPr>
        <w:t xml:space="preserve">(AKI) encompasses all stages of AKI including </w:t>
      </w:r>
      <w:r w:rsidR="00CE0CFE" w:rsidRPr="00A35510">
        <w:rPr>
          <w:rFonts w:cs="Times New Roman"/>
          <w:color w:val="FF0000"/>
          <w:szCs w:val="24"/>
        </w:rPr>
        <w:t>prerenal, acute renal failure</w:t>
      </w:r>
      <w:r w:rsidRPr="00A35510">
        <w:rPr>
          <w:rFonts w:cs="Times New Roman"/>
          <w:color w:val="FF0000"/>
          <w:szCs w:val="24"/>
        </w:rPr>
        <w:t xml:space="preserve"> (ARF) </w:t>
      </w:r>
      <w:r w:rsidR="00CE0CFE" w:rsidRPr="00A35510">
        <w:rPr>
          <w:rFonts w:cs="Times New Roman"/>
          <w:color w:val="FF0000"/>
          <w:szCs w:val="24"/>
        </w:rPr>
        <w:t xml:space="preserve">and acute tubular necrosis </w:t>
      </w:r>
      <w:r w:rsidRPr="00A35510">
        <w:rPr>
          <w:rFonts w:cs="Times New Roman"/>
          <w:color w:val="FF0000"/>
          <w:szCs w:val="24"/>
        </w:rPr>
        <w:t xml:space="preserve">(ATN). </w:t>
      </w:r>
    </w:p>
    <w:p w14:paraId="436DF4FD" w14:textId="77777777" w:rsidR="00103169" w:rsidRPr="00A35510" w:rsidRDefault="00103169" w:rsidP="00103169">
      <w:pPr>
        <w:pStyle w:val="NoSpacing"/>
        <w:ind w:left="720"/>
        <w:rPr>
          <w:rFonts w:cs="Times New Roman"/>
          <w:color w:val="FF0000"/>
          <w:szCs w:val="24"/>
        </w:rPr>
      </w:pPr>
    </w:p>
    <w:p w14:paraId="0C6FCD63" w14:textId="77777777" w:rsidR="00683E85" w:rsidRDefault="00683E85" w:rsidP="00683E85">
      <w:pPr>
        <w:pStyle w:val="NoSpacing"/>
        <w:numPr>
          <w:ilvl w:val="0"/>
          <w:numId w:val="5"/>
        </w:numPr>
        <w:rPr>
          <w:rFonts w:cs="Times New Roman"/>
          <w:color w:val="FF0000"/>
          <w:szCs w:val="24"/>
        </w:rPr>
      </w:pPr>
      <w:r w:rsidRPr="003E4884">
        <w:rPr>
          <w:rFonts w:cs="Times New Roman"/>
          <w:color w:val="FF0000"/>
          <w:szCs w:val="24"/>
        </w:rPr>
        <w:t xml:space="preserve">The auditor denied the diagnosis of AKI because there was no baseline creatinine level available. </w:t>
      </w:r>
      <w:r w:rsidRPr="00683E85">
        <w:rPr>
          <w:rFonts w:cs="Times New Roman"/>
          <w:color w:val="FF0000"/>
          <w:szCs w:val="24"/>
        </w:rPr>
        <w:t xml:space="preserve">Per KDIGO, a physician can and should use an estimated baseline to establish the diagnosis. </w:t>
      </w:r>
    </w:p>
    <w:p w14:paraId="1E323D87" w14:textId="77777777" w:rsidR="00683E85" w:rsidRDefault="00683E85" w:rsidP="00683E85">
      <w:pPr>
        <w:pStyle w:val="NoSpacing"/>
        <w:numPr>
          <w:ilvl w:val="0"/>
          <w:numId w:val="29"/>
        </w:numPr>
        <w:rPr>
          <w:rFonts w:cs="Times New Roman"/>
          <w:color w:val="FF0000"/>
          <w:szCs w:val="24"/>
        </w:rPr>
      </w:pPr>
      <w:r w:rsidRPr="00683E85">
        <w:rPr>
          <w:rFonts w:cs="Times New Roman"/>
          <w:color w:val="FF0000"/>
          <w:szCs w:val="24"/>
        </w:rPr>
        <w:t>An estimated baseline could be based on the lowest creatinine level during the hospitalization.</w:t>
      </w:r>
    </w:p>
    <w:p w14:paraId="6FECEE43" w14:textId="70A8FE57" w:rsidR="00683E85" w:rsidRPr="00683E85" w:rsidRDefault="00683E85" w:rsidP="00683E85">
      <w:pPr>
        <w:pStyle w:val="NoSpacing"/>
        <w:numPr>
          <w:ilvl w:val="0"/>
          <w:numId w:val="29"/>
        </w:numPr>
        <w:rPr>
          <w:rFonts w:cs="Times New Roman"/>
          <w:color w:val="FF0000"/>
          <w:szCs w:val="24"/>
        </w:rPr>
      </w:pPr>
      <w:r w:rsidRPr="00683E85">
        <w:rPr>
          <w:rFonts w:cs="Times New Roman"/>
          <w:color w:val="FF0000"/>
          <w:szCs w:val="24"/>
        </w:rPr>
        <w:t>An estimated baseline could be based on the physician’s judgment after assessing the lab values, history, physical exam, imaging results, etc.</w:t>
      </w:r>
      <w:r w:rsidRPr="00683E85">
        <w:rPr>
          <w:rFonts w:cs="Times New Roman"/>
          <w:color w:val="FF0000"/>
          <w:szCs w:val="24"/>
        </w:rPr>
        <w:br/>
      </w:r>
    </w:p>
    <w:p w14:paraId="3D1AE1D9" w14:textId="65F11B58" w:rsidR="00683E85" w:rsidRPr="004621D9" w:rsidRDefault="00683E85" w:rsidP="004621D9">
      <w:pPr>
        <w:pStyle w:val="NoSpacing"/>
        <w:numPr>
          <w:ilvl w:val="0"/>
          <w:numId w:val="5"/>
        </w:numPr>
        <w:rPr>
          <w:rFonts w:cs="Times New Roman"/>
          <w:szCs w:val="24"/>
        </w:rPr>
      </w:pPr>
      <w:r w:rsidRPr="00A35510">
        <w:rPr>
          <w:rFonts w:cs="Times New Roman"/>
          <w:color w:val="FF0000"/>
          <w:szCs w:val="24"/>
        </w:rPr>
        <w:t>The auditor erred when using clinical criteria for ARF when attempting to validate AKI.</w:t>
      </w:r>
      <w:r w:rsidRPr="004621D9">
        <w:rPr>
          <w:rFonts w:cs="Times New Roman"/>
          <w:color w:val="FF0000"/>
          <w:szCs w:val="24"/>
        </w:rPr>
        <w:t xml:space="preserve"> </w:t>
      </w:r>
    </w:p>
    <w:p w14:paraId="4B57093D" w14:textId="77777777" w:rsidR="00683E85" w:rsidRPr="00A35510" w:rsidRDefault="00683E85" w:rsidP="00683E85">
      <w:pPr>
        <w:pStyle w:val="NoSpacing"/>
        <w:numPr>
          <w:ilvl w:val="0"/>
          <w:numId w:val="10"/>
        </w:numPr>
        <w:rPr>
          <w:rFonts w:cs="Times New Roman"/>
          <w:color w:val="FF0000"/>
          <w:szCs w:val="24"/>
        </w:rPr>
      </w:pPr>
      <w:r w:rsidRPr="00A35510">
        <w:rPr>
          <w:rFonts w:cs="Times New Roman"/>
          <w:color w:val="FF0000"/>
          <w:szCs w:val="24"/>
        </w:rPr>
        <w:t>AKI (acute kidney injury) was well documented to be the acute renal condition suffered by this patient.</w:t>
      </w:r>
    </w:p>
    <w:p w14:paraId="650A46F8" w14:textId="77777777" w:rsidR="00683E85" w:rsidRPr="00A35510" w:rsidRDefault="00683E85" w:rsidP="00683E85">
      <w:pPr>
        <w:pStyle w:val="NoSpacing"/>
        <w:numPr>
          <w:ilvl w:val="0"/>
          <w:numId w:val="10"/>
        </w:numPr>
        <w:rPr>
          <w:rFonts w:cs="Times New Roman"/>
          <w:color w:val="FF0000"/>
          <w:szCs w:val="24"/>
        </w:rPr>
      </w:pPr>
      <w:r w:rsidRPr="00A35510">
        <w:rPr>
          <w:rFonts w:cs="Times New Roman"/>
          <w:color w:val="FF0000"/>
          <w:szCs w:val="24"/>
        </w:rPr>
        <w:lastRenderedPageBreak/>
        <w:t>Acute renal failure and acute kidney injury are not the same on a clinical basis.</w:t>
      </w:r>
    </w:p>
    <w:p w14:paraId="3B852559" w14:textId="77777777" w:rsidR="00683E85" w:rsidRPr="00A35510" w:rsidRDefault="00683E85" w:rsidP="00683E85">
      <w:pPr>
        <w:pStyle w:val="NoSpacing"/>
        <w:numPr>
          <w:ilvl w:val="0"/>
          <w:numId w:val="10"/>
        </w:numPr>
        <w:rPr>
          <w:rFonts w:cs="Times New Roman"/>
          <w:color w:val="FF0000"/>
          <w:szCs w:val="24"/>
        </w:rPr>
      </w:pPr>
      <w:r w:rsidRPr="00A35510">
        <w:rPr>
          <w:rFonts w:cs="Times New Roman"/>
          <w:color w:val="FF0000"/>
          <w:szCs w:val="24"/>
        </w:rPr>
        <w:t xml:space="preserve">Despite differences on a clinical level, acute kidney injury and acute renal failure both map to the same code: N17.9, which is labeled “acute kidney failure.” </w:t>
      </w:r>
      <w:r w:rsidRPr="00A35510">
        <w:rPr>
          <w:rFonts w:cs="Times New Roman"/>
          <w:color w:val="FF0000"/>
          <w:szCs w:val="24"/>
        </w:rPr>
        <w:tab/>
      </w:r>
      <w:r w:rsidRPr="00A35510">
        <w:rPr>
          <w:rFonts w:eastAsia="Calibri" w:cs="Times New Roman"/>
          <w:color w:val="FF0000"/>
        </w:rPr>
        <w:t>Injury</w:t>
      </w:r>
    </w:p>
    <w:p w14:paraId="7DF69840" w14:textId="77777777" w:rsidR="00683E85" w:rsidRPr="00A35510" w:rsidRDefault="00683E85" w:rsidP="00683E85">
      <w:pPr>
        <w:spacing w:after="0" w:line="240" w:lineRule="auto"/>
        <w:ind w:left="2160"/>
        <w:rPr>
          <w:rFonts w:ascii="Times New Roman" w:eastAsia="Calibri" w:hAnsi="Times New Roman" w:cs="Times New Roman"/>
          <w:color w:val="FF0000"/>
          <w:sz w:val="24"/>
        </w:rPr>
      </w:pPr>
      <w:r w:rsidRPr="00A35510">
        <w:rPr>
          <w:rFonts w:ascii="Times New Roman" w:eastAsia="Calibri" w:hAnsi="Times New Roman" w:cs="Times New Roman"/>
          <w:color w:val="FF0000"/>
          <w:sz w:val="24"/>
        </w:rPr>
        <w:t xml:space="preserve">     Kidney</w:t>
      </w:r>
    </w:p>
    <w:p w14:paraId="783BD60B" w14:textId="77777777" w:rsidR="00683E85" w:rsidRPr="00A35510" w:rsidRDefault="00683E85" w:rsidP="00683E85">
      <w:pPr>
        <w:spacing w:after="0" w:line="240" w:lineRule="auto"/>
        <w:ind w:left="2160"/>
        <w:rPr>
          <w:rFonts w:ascii="Times New Roman" w:eastAsia="Calibri" w:hAnsi="Times New Roman" w:cs="Times New Roman"/>
          <w:color w:val="FF0000"/>
          <w:sz w:val="24"/>
        </w:rPr>
      </w:pPr>
      <w:r w:rsidRPr="00A35510">
        <w:rPr>
          <w:rFonts w:ascii="Times New Roman" w:eastAsia="Calibri" w:hAnsi="Times New Roman" w:cs="Times New Roman"/>
          <w:color w:val="FF0000"/>
          <w:sz w:val="24"/>
        </w:rPr>
        <w:t xml:space="preserve">        Acute (nontraumatic) N17.9</w:t>
      </w:r>
    </w:p>
    <w:p w14:paraId="2A8F5B82" w14:textId="77777777" w:rsidR="00683E85" w:rsidRPr="00A35510" w:rsidRDefault="00683E85" w:rsidP="00683E85">
      <w:pPr>
        <w:spacing w:after="0" w:line="240" w:lineRule="auto"/>
        <w:ind w:left="2160"/>
        <w:rPr>
          <w:rFonts w:ascii="Times New Roman" w:eastAsia="Calibri" w:hAnsi="Times New Roman" w:cs="Times New Roman"/>
          <w:color w:val="FF0000"/>
          <w:sz w:val="24"/>
        </w:rPr>
      </w:pPr>
      <w:r w:rsidRPr="00A35510">
        <w:rPr>
          <w:rFonts w:ascii="Times New Roman" w:eastAsia="Calibri" w:hAnsi="Times New Roman" w:cs="Times New Roman"/>
          <w:color w:val="FF0000"/>
          <w:sz w:val="24"/>
        </w:rPr>
        <w:t>Failure</w:t>
      </w:r>
    </w:p>
    <w:p w14:paraId="58B65946" w14:textId="77777777" w:rsidR="00683E85" w:rsidRPr="00A35510" w:rsidRDefault="00683E85" w:rsidP="00683E85">
      <w:pPr>
        <w:spacing w:after="0" w:line="240" w:lineRule="auto"/>
        <w:ind w:left="2160"/>
        <w:rPr>
          <w:rFonts w:ascii="Times New Roman" w:eastAsia="Calibri" w:hAnsi="Times New Roman" w:cs="Times New Roman"/>
          <w:color w:val="FF0000"/>
          <w:sz w:val="24"/>
        </w:rPr>
      </w:pPr>
      <w:r w:rsidRPr="00A35510">
        <w:rPr>
          <w:rFonts w:ascii="Times New Roman" w:eastAsia="Calibri" w:hAnsi="Times New Roman" w:cs="Times New Roman"/>
          <w:color w:val="FF0000"/>
          <w:sz w:val="24"/>
        </w:rPr>
        <w:t xml:space="preserve">     Renal</w:t>
      </w:r>
    </w:p>
    <w:p w14:paraId="668BC478" w14:textId="77777777" w:rsidR="00683E85" w:rsidRPr="00A35510" w:rsidRDefault="00683E85" w:rsidP="00683E85">
      <w:pPr>
        <w:spacing w:after="0" w:line="240" w:lineRule="auto"/>
        <w:ind w:left="2160"/>
        <w:rPr>
          <w:rFonts w:ascii="Times New Roman" w:eastAsia="Calibri" w:hAnsi="Times New Roman" w:cs="Times New Roman"/>
          <w:color w:val="FF0000"/>
          <w:sz w:val="24"/>
        </w:rPr>
      </w:pPr>
      <w:r w:rsidRPr="00A35510">
        <w:rPr>
          <w:rFonts w:ascii="Times New Roman" w:eastAsia="Calibri" w:hAnsi="Times New Roman" w:cs="Times New Roman"/>
          <w:color w:val="FF0000"/>
          <w:sz w:val="24"/>
        </w:rPr>
        <w:t xml:space="preserve">         Acute N17.9</w:t>
      </w:r>
    </w:p>
    <w:p w14:paraId="5BD4D552" w14:textId="476ADC78" w:rsidR="00683E85" w:rsidRPr="00683E85" w:rsidRDefault="00683E85" w:rsidP="00683E85">
      <w:pPr>
        <w:pStyle w:val="NoSpacing"/>
        <w:numPr>
          <w:ilvl w:val="0"/>
          <w:numId w:val="10"/>
        </w:numPr>
        <w:rPr>
          <w:rFonts w:cs="Times New Roman"/>
          <w:color w:val="FF0000"/>
          <w:szCs w:val="24"/>
        </w:rPr>
      </w:pPr>
      <w:r w:rsidRPr="00A35510">
        <w:rPr>
          <w:rFonts w:cs="Times New Roman"/>
          <w:color w:val="FF0000"/>
          <w:szCs w:val="24"/>
        </w:rPr>
        <w:t xml:space="preserve">The auditor’s claim that the hospital reported acute kidney failure is not accurate. </w:t>
      </w:r>
      <w:r w:rsidRPr="00683E85">
        <w:rPr>
          <w:rFonts w:cs="Times New Roman"/>
          <w:color w:val="FF0000"/>
          <w:szCs w:val="24"/>
        </w:rPr>
        <w:t>The hospital reported AKI, but the code defaults to N17.9.</w:t>
      </w:r>
      <w:r>
        <w:rPr>
          <w:rFonts w:cs="Times New Roman"/>
          <w:color w:val="FF0000"/>
          <w:szCs w:val="24"/>
        </w:rPr>
        <w:t xml:space="preserve"> </w:t>
      </w:r>
      <w:r w:rsidRPr="00683E85">
        <w:rPr>
          <w:rFonts w:cs="Times New Roman"/>
          <w:color w:val="FF0000"/>
          <w:szCs w:val="24"/>
        </w:rPr>
        <w:t>The hospital should not be penalized because ARF and AKI map to the same code.</w:t>
      </w:r>
    </w:p>
    <w:p w14:paraId="30443F94" w14:textId="77777777" w:rsidR="00AA10FD" w:rsidRDefault="00AA10FD" w:rsidP="00AA10FD">
      <w:pPr>
        <w:pStyle w:val="NoSpacing"/>
        <w:ind w:left="720"/>
        <w:rPr>
          <w:rFonts w:cs="Times New Roman"/>
          <w:szCs w:val="24"/>
        </w:rPr>
      </w:pPr>
    </w:p>
    <w:p w14:paraId="195D5191" w14:textId="23655E43" w:rsidR="007F6D8D" w:rsidRPr="00683E85" w:rsidRDefault="00AA10FD" w:rsidP="00683E85">
      <w:pPr>
        <w:pStyle w:val="NoSpacing"/>
        <w:numPr>
          <w:ilvl w:val="0"/>
          <w:numId w:val="5"/>
        </w:numPr>
        <w:rPr>
          <w:rFonts w:cs="Times New Roman"/>
          <w:color w:val="FF0000"/>
          <w:szCs w:val="24"/>
        </w:rPr>
      </w:pPr>
      <w:r w:rsidRPr="0078261D">
        <w:rPr>
          <w:rFonts w:cs="Times New Roman"/>
          <w:color w:val="FF0000"/>
          <w:szCs w:val="24"/>
        </w:rPr>
        <w:t>The auditor denied the diagnosis of ATN because a renal biopsy was not done.</w:t>
      </w:r>
      <w:r w:rsidR="00683E85">
        <w:rPr>
          <w:rFonts w:cs="Times New Roman"/>
          <w:color w:val="FF0000"/>
          <w:szCs w:val="24"/>
        </w:rPr>
        <w:t xml:space="preserve"> However, a</w:t>
      </w:r>
      <w:r w:rsidRPr="00683E85">
        <w:rPr>
          <w:rFonts w:cs="Times New Roman"/>
          <w:color w:val="FF0000"/>
          <w:szCs w:val="24"/>
        </w:rPr>
        <w:t xml:space="preserve"> renal biopsy should </w:t>
      </w:r>
      <w:r w:rsidR="00154703" w:rsidRPr="00683E85">
        <w:rPr>
          <w:rFonts w:cs="Times New Roman"/>
          <w:color w:val="FF0000"/>
          <w:szCs w:val="24"/>
        </w:rPr>
        <w:t xml:space="preserve">not be done for hemodynamically mediated ATN. A biopsy should </w:t>
      </w:r>
      <w:r w:rsidRPr="00683E85">
        <w:rPr>
          <w:rFonts w:cs="Times New Roman"/>
          <w:color w:val="FF0000"/>
          <w:szCs w:val="24"/>
        </w:rPr>
        <w:t>only be done if the physician does not know what caused the ATN</w:t>
      </w:r>
      <w:r w:rsidR="000D202E" w:rsidRPr="00683E85">
        <w:rPr>
          <w:rFonts w:cs="Times New Roman"/>
          <w:color w:val="FF0000"/>
          <w:szCs w:val="24"/>
        </w:rPr>
        <w:t xml:space="preserve"> or if there are </w:t>
      </w:r>
      <w:r w:rsidR="00154703" w:rsidRPr="00683E85">
        <w:rPr>
          <w:rFonts w:cs="Times New Roman"/>
          <w:color w:val="FF0000"/>
          <w:szCs w:val="24"/>
        </w:rPr>
        <w:t xml:space="preserve">other </w:t>
      </w:r>
      <w:r w:rsidR="000D202E" w:rsidRPr="00683E85">
        <w:rPr>
          <w:rFonts w:cs="Times New Roman"/>
          <w:color w:val="FF0000"/>
          <w:szCs w:val="24"/>
        </w:rPr>
        <w:t>spec</w:t>
      </w:r>
      <w:r w:rsidR="00154703" w:rsidRPr="00683E85">
        <w:rPr>
          <w:rFonts w:cs="Times New Roman"/>
          <w:color w:val="FF0000"/>
          <w:szCs w:val="24"/>
        </w:rPr>
        <w:t xml:space="preserve">ific indications for a biopsy. </w:t>
      </w:r>
      <w:r w:rsidR="00721849" w:rsidRPr="00683E85">
        <w:rPr>
          <w:rFonts w:cs="Times New Roman"/>
          <w:color w:val="FF0000"/>
          <w:szCs w:val="24"/>
        </w:rPr>
        <w:t xml:space="preserve">See below for the </w:t>
      </w:r>
      <w:r w:rsidR="00683E85" w:rsidRPr="00683E85">
        <w:rPr>
          <w:rFonts w:cs="Times New Roman"/>
          <w:color w:val="FF0000"/>
          <w:szCs w:val="24"/>
        </w:rPr>
        <w:t>evidence-based</w:t>
      </w:r>
      <w:r w:rsidR="00721849" w:rsidRPr="00683E85">
        <w:rPr>
          <w:rFonts w:cs="Times New Roman"/>
          <w:color w:val="FF0000"/>
          <w:szCs w:val="24"/>
        </w:rPr>
        <w:t xml:space="preserve"> </w:t>
      </w:r>
      <w:r w:rsidR="00FA3982" w:rsidRPr="00683E85">
        <w:rPr>
          <w:rFonts w:cs="Times New Roman"/>
          <w:color w:val="FF0000"/>
          <w:szCs w:val="24"/>
        </w:rPr>
        <w:t>documentation</w:t>
      </w:r>
      <w:r w:rsidR="00721849" w:rsidRPr="00683E85">
        <w:rPr>
          <w:rFonts w:cs="Times New Roman"/>
          <w:color w:val="FF0000"/>
          <w:szCs w:val="24"/>
        </w:rPr>
        <w:t xml:space="preserve"> that supports this statement. </w:t>
      </w:r>
      <w:r w:rsidR="003E4884" w:rsidRPr="00683E85">
        <w:rPr>
          <w:rFonts w:cs="Times New Roman"/>
          <w:color w:val="FF0000"/>
          <w:szCs w:val="24"/>
        </w:rPr>
        <w:br/>
      </w:r>
    </w:p>
    <w:p w14:paraId="185CDE0F" w14:textId="6A88F0DA" w:rsidR="00683E85" w:rsidRPr="00683E85" w:rsidRDefault="00552964" w:rsidP="00683E85">
      <w:pPr>
        <w:pStyle w:val="ListParagraph"/>
        <w:numPr>
          <w:ilvl w:val="0"/>
          <w:numId w:val="5"/>
        </w:numPr>
        <w:spacing w:after="0" w:line="240" w:lineRule="auto"/>
        <w:rPr>
          <w:rFonts w:ascii="Times New Roman" w:eastAsia="Calibri" w:hAnsi="Times New Roman" w:cs="Times New Roman"/>
          <w:i/>
          <w:sz w:val="24"/>
        </w:rPr>
      </w:pPr>
      <w:r w:rsidRPr="00087A36">
        <w:rPr>
          <w:rFonts w:ascii="Times New Roman" w:eastAsia="Calibri" w:hAnsi="Times New Roman" w:cs="Times New Roman"/>
          <w:sz w:val="24"/>
          <w:szCs w:val="24"/>
        </w:rPr>
        <w:t xml:space="preserve">Inclusion of </w:t>
      </w:r>
      <w:r w:rsidR="004621D9" w:rsidRPr="009F7CA4">
        <w:rPr>
          <w:rFonts w:ascii="Times New Roman" w:eastAsia="Calibri" w:hAnsi="Times New Roman" w:cs="Times New Roman"/>
          <w:iCs/>
          <w:color w:val="FF0000"/>
          <w:sz w:val="24"/>
          <w:szCs w:val="24"/>
        </w:rPr>
        <w:t>sp</w:t>
      </w:r>
      <w:r w:rsidR="00087A36" w:rsidRPr="009F7CA4">
        <w:rPr>
          <w:rFonts w:ascii="Times New Roman" w:eastAsia="Calibri" w:hAnsi="Times New Roman" w:cs="Times New Roman"/>
          <w:iCs/>
          <w:color w:val="FF0000"/>
          <w:sz w:val="24"/>
          <w:szCs w:val="24"/>
        </w:rPr>
        <w:t>ecify</w:t>
      </w:r>
      <w:r w:rsidR="00087A36" w:rsidRPr="009F7CA4">
        <w:rPr>
          <w:rFonts w:ascii="Times New Roman" w:eastAsia="Calibri" w:hAnsi="Times New Roman" w:cs="Times New Roman"/>
          <w:iCs/>
          <w:sz w:val="24"/>
          <w:szCs w:val="24"/>
        </w:rPr>
        <w:t xml:space="preserve"> </w:t>
      </w:r>
      <w:r w:rsidR="004621D9" w:rsidRPr="009F7CA4">
        <w:rPr>
          <w:rFonts w:ascii="Times New Roman" w:eastAsia="Calibri" w:hAnsi="Times New Roman" w:cs="Times New Roman"/>
          <w:iCs/>
          <w:color w:val="FF0000"/>
          <w:sz w:val="24"/>
        </w:rPr>
        <w:t>d</w:t>
      </w:r>
      <w:r w:rsidR="00087A36" w:rsidRPr="009F7CA4">
        <w:rPr>
          <w:rFonts w:ascii="Times New Roman" w:eastAsia="Calibri" w:hAnsi="Times New Roman" w:cs="Times New Roman"/>
          <w:iCs/>
          <w:color w:val="FF0000"/>
          <w:sz w:val="24"/>
        </w:rPr>
        <w:t>iagnosis</w:t>
      </w:r>
      <w:r w:rsidRPr="00087A36">
        <w:rPr>
          <w:rFonts w:ascii="Times New Roman" w:eastAsia="Calibri" w:hAnsi="Times New Roman" w:cs="Times New Roman"/>
          <w:sz w:val="24"/>
        </w:rPr>
        <w:t xml:space="preserve"> </w:t>
      </w:r>
      <w:r w:rsidRPr="00087A36">
        <w:rPr>
          <w:rFonts w:ascii="Times New Roman" w:eastAsia="Calibri" w:hAnsi="Times New Roman" w:cs="Times New Roman"/>
          <w:sz w:val="24"/>
          <w:szCs w:val="24"/>
        </w:rPr>
        <w:t>on the billed claim is in accordance with the Uniform Hospi</w:t>
      </w:r>
      <w:r w:rsidR="00D158F1">
        <w:rPr>
          <w:rFonts w:ascii="Times New Roman" w:eastAsia="Calibri" w:hAnsi="Times New Roman" w:cs="Times New Roman"/>
          <w:sz w:val="24"/>
          <w:szCs w:val="24"/>
        </w:rPr>
        <w:t xml:space="preserve">tal Discharge Data Set (UHDDS) </w:t>
      </w:r>
      <w:r w:rsidRPr="00087A36">
        <w:rPr>
          <w:rFonts w:ascii="Times New Roman" w:eastAsia="Calibri" w:hAnsi="Times New Roman" w:cs="Times New Roman"/>
          <w:sz w:val="24"/>
          <w:szCs w:val="24"/>
        </w:rPr>
        <w:t xml:space="preserve">and ICD-10-CM Official Coding Guidelines, </w:t>
      </w:r>
      <w:r w:rsidRPr="00087A36">
        <w:rPr>
          <w:rFonts w:ascii="Times New Roman" w:eastAsia="Calibri" w:hAnsi="Times New Roman" w:cs="Times New Roman"/>
          <w:bCs/>
          <w:sz w:val="24"/>
          <w:szCs w:val="24"/>
        </w:rPr>
        <w:t>and AHA Coding Clinic</w:t>
      </w:r>
      <w:r w:rsidRPr="00087A36">
        <w:rPr>
          <w:rFonts w:ascii="Times New Roman" w:eastAsia="Calibri" w:hAnsi="Times New Roman" w:cs="Times New Roman"/>
          <w:bCs/>
          <w:sz w:val="24"/>
          <w:szCs w:val="24"/>
          <w:u w:val="single"/>
        </w:rPr>
        <w:t xml:space="preserve"> </w:t>
      </w:r>
      <w:r w:rsidRPr="00087A36">
        <w:rPr>
          <w:rFonts w:ascii="Times New Roman" w:eastAsia="Calibri" w:hAnsi="Times New Roman" w:cs="Times New Roman"/>
          <w:bCs/>
          <w:sz w:val="24"/>
          <w:szCs w:val="24"/>
        </w:rPr>
        <w:t>Guidelines</w:t>
      </w:r>
      <w:r w:rsidRPr="00087A36">
        <w:rPr>
          <w:rFonts w:ascii="Times New Roman" w:eastAsia="Calibri" w:hAnsi="Times New Roman" w:cs="Times New Roman"/>
          <w:sz w:val="24"/>
          <w:szCs w:val="24"/>
        </w:rPr>
        <w:t xml:space="preserve"> </w:t>
      </w:r>
      <w:r w:rsidRPr="00087A36">
        <w:rPr>
          <w:rFonts w:ascii="Times New Roman" w:eastAsia="Calibri" w:hAnsi="Times New Roman" w:cs="Times New Roman"/>
          <w:bCs/>
          <w:sz w:val="24"/>
          <w:szCs w:val="24"/>
        </w:rPr>
        <w:t>(see citations below).</w:t>
      </w:r>
      <w:r w:rsidRPr="00087A36">
        <w:rPr>
          <w:rFonts w:ascii="Times New Roman" w:eastAsia="Calibri" w:hAnsi="Times New Roman" w:cs="Times New Roman"/>
          <w:sz w:val="24"/>
        </w:rPr>
        <w:t xml:space="preserve"> There is no disclosure indicating the payer’s contract provisions vary from Uniform Hospital Discharge Data Set (UHDDS) and ICD-10-CM Official Coding Guidelines.</w:t>
      </w:r>
    </w:p>
    <w:p w14:paraId="7E4B805F" w14:textId="77777777" w:rsidR="00683E85" w:rsidRPr="00B825B6" w:rsidRDefault="00683E85" w:rsidP="00683E85">
      <w:pPr>
        <w:pStyle w:val="ListParagraph"/>
        <w:spacing w:after="0" w:line="240" w:lineRule="auto"/>
        <w:ind w:left="810"/>
        <w:rPr>
          <w:rFonts w:ascii="Times New Roman" w:eastAsia="Calibri" w:hAnsi="Times New Roman" w:cs="Times New Roman"/>
          <w:iCs/>
          <w:sz w:val="24"/>
        </w:rPr>
      </w:pPr>
    </w:p>
    <w:p w14:paraId="50EBDCE3" w14:textId="3DBFB33A" w:rsidR="00683E85" w:rsidRPr="00683E85" w:rsidRDefault="00683E85" w:rsidP="00683E85">
      <w:pPr>
        <w:pStyle w:val="ListParagraph"/>
        <w:numPr>
          <w:ilvl w:val="0"/>
          <w:numId w:val="5"/>
        </w:numPr>
        <w:spacing w:after="0" w:line="240" w:lineRule="auto"/>
        <w:rPr>
          <w:rFonts w:ascii="Times New Roman" w:eastAsia="Calibri" w:hAnsi="Times New Roman" w:cs="Times New Roman"/>
          <w:i/>
          <w:sz w:val="24"/>
          <w:szCs w:val="24"/>
        </w:rPr>
      </w:pPr>
      <w:r w:rsidRPr="00683E85">
        <w:rPr>
          <w:rFonts w:ascii="Times New Roman" w:hAnsi="Times New Roman" w:cs="Times New Roman"/>
          <w:sz w:val="24"/>
          <w:szCs w:val="24"/>
        </w:rPr>
        <w:t xml:space="preserve">A team of licensed providers </w:t>
      </w:r>
      <w:r w:rsidRPr="009F7CA4">
        <w:rPr>
          <w:rFonts w:ascii="Times New Roman" w:hAnsi="Times New Roman" w:cs="Times New Roman"/>
          <w:iCs/>
          <w:color w:val="FF0000"/>
          <w:sz w:val="24"/>
          <w:szCs w:val="24"/>
        </w:rPr>
        <w:t>(including a disease specialist)</w:t>
      </w:r>
      <w:r w:rsidRPr="009F7CA4">
        <w:rPr>
          <w:rFonts w:ascii="Times New Roman" w:hAnsi="Times New Roman" w:cs="Times New Roman"/>
          <w:iCs/>
          <w:sz w:val="24"/>
          <w:szCs w:val="24"/>
        </w:rPr>
        <w:t>,</w:t>
      </w:r>
      <w:r w:rsidRPr="00683E85">
        <w:rPr>
          <w:rFonts w:ascii="Times New Roman" w:hAnsi="Times New Roman" w:cs="Times New Roman"/>
          <w:sz w:val="24"/>
          <w:szCs w:val="24"/>
        </w:rPr>
        <w:t xml:space="preserve"> responsible for the care of the patient, entered the diagnosis into the medical record. </w:t>
      </w:r>
    </w:p>
    <w:p w14:paraId="7166B572" w14:textId="77777777" w:rsidR="00683E85" w:rsidRPr="00683E85" w:rsidRDefault="00683E85" w:rsidP="00683E85">
      <w:pPr>
        <w:pStyle w:val="ListParagraph"/>
        <w:spacing w:after="0" w:line="240" w:lineRule="auto"/>
        <w:ind w:left="810"/>
        <w:rPr>
          <w:rFonts w:ascii="Times New Roman" w:eastAsia="Calibri" w:hAnsi="Times New Roman" w:cs="Times New Roman"/>
          <w:iCs/>
          <w:sz w:val="24"/>
          <w:szCs w:val="24"/>
        </w:rPr>
      </w:pPr>
    </w:p>
    <w:p w14:paraId="2C0ED8D5" w14:textId="02F0F7FF" w:rsidR="00086C15" w:rsidRPr="004732BE" w:rsidRDefault="007F6D8D" w:rsidP="00844AF3">
      <w:pPr>
        <w:pStyle w:val="ListParagraph"/>
        <w:numPr>
          <w:ilvl w:val="0"/>
          <w:numId w:val="5"/>
        </w:numPr>
        <w:spacing w:after="0" w:line="240" w:lineRule="auto"/>
        <w:rPr>
          <w:rFonts w:ascii="Times New Roman" w:eastAsia="Calibri" w:hAnsi="Times New Roman" w:cs="Times New Roman"/>
          <w:iCs/>
          <w:sz w:val="24"/>
        </w:rPr>
      </w:pPr>
      <w:r w:rsidRPr="004732BE">
        <w:rPr>
          <w:rFonts w:ascii="Times New Roman" w:eastAsia="Calibri" w:hAnsi="Times New Roman" w:cs="Times New Roman"/>
          <w:iCs/>
          <w:color w:val="FF0000"/>
          <w:sz w:val="24"/>
        </w:rPr>
        <w:t xml:space="preserve">Further, there is no disclosure regarding consultation with a coder or clinician who has the expertise to understand and apply these guidelines. Accordingly, disclosure of this information is requested. </w:t>
      </w:r>
      <w:r w:rsidRPr="004732BE">
        <w:rPr>
          <w:rFonts w:ascii="Times New Roman" w:eastAsia="Times New Roman" w:hAnsi="Times New Roman" w:cs="Arial"/>
          <w:iCs/>
          <w:color w:val="FF0000"/>
          <w:sz w:val="24"/>
        </w:rPr>
        <w:t xml:space="preserve"> </w:t>
      </w:r>
    </w:p>
    <w:p w14:paraId="50A11CD9" w14:textId="77777777" w:rsidR="00552964" w:rsidRPr="004732BE" w:rsidRDefault="00552964" w:rsidP="00552964">
      <w:pPr>
        <w:spacing w:after="0" w:line="240" w:lineRule="auto"/>
        <w:rPr>
          <w:rFonts w:ascii="Times New Roman" w:eastAsia="Calibri" w:hAnsi="Times New Roman" w:cs="Times New Roman"/>
          <w:iCs/>
          <w:sz w:val="24"/>
        </w:rPr>
      </w:pPr>
    </w:p>
    <w:p w14:paraId="337F76F9" w14:textId="77777777" w:rsidR="00991D88" w:rsidRPr="00991D88" w:rsidRDefault="00991D88" w:rsidP="00991D88">
      <w:pPr>
        <w:spacing w:after="0" w:line="240" w:lineRule="auto"/>
        <w:jc w:val="center"/>
        <w:rPr>
          <w:rFonts w:ascii="Times New Roman" w:eastAsia="Calibri" w:hAnsi="Times New Roman" w:cs="Times New Roman"/>
          <w:b/>
          <w:sz w:val="24"/>
        </w:rPr>
      </w:pPr>
      <w:r w:rsidRPr="00991D88">
        <w:rPr>
          <w:rFonts w:ascii="Times New Roman" w:eastAsia="Calibri" w:hAnsi="Times New Roman" w:cs="Times New Roman"/>
          <w:b/>
          <w:sz w:val="24"/>
        </w:rPr>
        <w:t>Coding References</w:t>
      </w:r>
    </w:p>
    <w:p w14:paraId="3C03EE26" w14:textId="77777777" w:rsidR="00991D88" w:rsidRPr="00991D88" w:rsidRDefault="00991D88" w:rsidP="00991D88">
      <w:pPr>
        <w:spacing w:after="0" w:line="240" w:lineRule="auto"/>
        <w:jc w:val="center"/>
        <w:rPr>
          <w:rFonts w:ascii="Times New Roman" w:eastAsia="Calibri" w:hAnsi="Times New Roman" w:cs="Times New Roman"/>
          <w:b/>
          <w:sz w:val="24"/>
        </w:rPr>
      </w:pPr>
    </w:p>
    <w:p w14:paraId="7DD3F5EA" w14:textId="77777777" w:rsidR="00991D88" w:rsidRPr="00991D88" w:rsidRDefault="00991D88" w:rsidP="00991D88">
      <w:pPr>
        <w:spacing w:after="0" w:line="240" w:lineRule="auto"/>
        <w:rPr>
          <w:rFonts w:ascii="Times New Roman" w:eastAsia="Calibri" w:hAnsi="Times New Roman" w:cs="Times New Roman"/>
          <w:b/>
          <w:sz w:val="24"/>
        </w:rPr>
      </w:pPr>
      <w:r w:rsidRPr="00991D88">
        <w:rPr>
          <w:rFonts w:ascii="Times New Roman" w:eastAsia="Calibri" w:hAnsi="Times New Roman" w:cs="Times New Roman"/>
          <w:b/>
          <w:sz w:val="24"/>
        </w:rPr>
        <w:t xml:space="preserve">ICD-10-CM Official Guidelines for Coding and Reporting </w:t>
      </w:r>
    </w:p>
    <w:p w14:paraId="478E0CE4" w14:textId="77777777" w:rsidR="00991D88" w:rsidRPr="00991D88" w:rsidRDefault="00991D88" w:rsidP="00991D88">
      <w:pPr>
        <w:spacing w:after="0" w:line="240" w:lineRule="auto"/>
        <w:rPr>
          <w:rFonts w:ascii="Times New Roman" w:eastAsia="Calibri" w:hAnsi="Times New Roman" w:cs="Times New Roman"/>
          <w:b/>
          <w:sz w:val="24"/>
        </w:rPr>
      </w:pPr>
    </w:p>
    <w:p w14:paraId="2F915C79" w14:textId="77777777" w:rsidR="00991D88" w:rsidRPr="00991D88" w:rsidRDefault="00991D88" w:rsidP="00991D88">
      <w:pPr>
        <w:spacing w:after="0" w:line="240" w:lineRule="auto"/>
        <w:rPr>
          <w:rFonts w:ascii="Times New Roman" w:eastAsia="Calibri" w:hAnsi="Times New Roman" w:cs="Times New Roman"/>
          <w:b/>
          <w:sz w:val="24"/>
        </w:rPr>
      </w:pPr>
      <w:r w:rsidRPr="00991D88">
        <w:rPr>
          <w:rFonts w:ascii="Times New Roman" w:eastAsia="Calibri" w:hAnsi="Times New Roman" w:cs="Times New Roman"/>
          <w:b/>
          <w:sz w:val="24"/>
        </w:rPr>
        <w:t>Section II. Selection of Principal</w:t>
      </w:r>
      <w:r w:rsidRPr="00991D88">
        <w:rPr>
          <w:rFonts w:ascii="Times New Roman" w:eastAsia="Calibri" w:hAnsi="Times New Roman" w:cs="Times New Roman"/>
          <w:b/>
          <w:kern w:val="36"/>
          <w:sz w:val="24"/>
        </w:rPr>
        <w:t xml:space="preserve"> Diagnosis</w:t>
      </w:r>
      <w:r w:rsidRPr="00991D88">
        <w:rPr>
          <w:rFonts w:ascii="Times New Roman" w:eastAsia="Calibri" w:hAnsi="Times New Roman" w:cs="Times New Roman"/>
          <w:b/>
          <w:sz w:val="24"/>
        </w:rPr>
        <w:t xml:space="preserve"> </w:t>
      </w:r>
    </w:p>
    <w:p w14:paraId="76955908" w14:textId="77777777" w:rsidR="00991D88" w:rsidRPr="00991D88" w:rsidRDefault="00991D88" w:rsidP="00991D88">
      <w:pPr>
        <w:spacing w:after="0" w:line="240" w:lineRule="auto"/>
        <w:rPr>
          <w:rFonts w:ascii="Times New Roman" w:eastAsia="Calibri" w:hAnsi="Times New Roman" w:cs="Times New Roman"/>
          <w:sz w:val="24"/>
        </w:rPr>
      </w:pPr>
      <w:r w:rsidRPr="00991D88">
        <w:rPr>
          <w:rFonts w:ascii="Times New Roman" w:eastAsia="Calibri" w:hAnsi="Times New Roman" w:cs="Times New Roman"/>
          <w:sz w:val="24"/>
        </w:rPr>
        <w:t>The circumstances of inpatient admission always govern the selection of principal</w:t>
      </w:r>
      <w:r w:rsidRPr="00991D88">
        <w:rPr>
          <w:rFonts w:ascii="Times New Roman" w:eastAsia="Calibri" w:hAnsi="Times New Roman" w:cs="Times New Roman"/>
          <w:kern w:val="36"/>
          <w:sz w:val="24"/>
        </w:rPr>
        <w:t xml:space="preserve"> diagnosis</w:t>
      </w:r>
      <w:r w:rsidRPr="00991D88">
        <w:rPr>
          <w:rFonts w:ascii="Times New Roman" w:eastAsia="Calibri" w:hAnsi="Times New Roman" w:cs="Times New Roman"/>
          <w:sz w:val="24"/>
        </w:rPr>
        <w:t>. The principal</w:t>
      </w:r>
      <w:r w:rsidRPr="00991D88">
        <w:rPr>
          <w:rFonts w:ascii="Times New Roman" w:eastAsia="Calibri" w:hAnsi="Times New Roman" w:cs="Times New Roman"/>
          <w:kern w:val="36"/>
          <w:sz w:val="24"/>
        </w:rPr>
        <w:t xml:space="preserve"> diagnosis</w:t>
      </w:r>
      <w:r w:rsidRPr="00991D88">
        <w:rPr>
          <w:rFonts w:ascii="Times New Roman" w:eastAsia="Calibri" w:hAnsi="Times New Roman" w:cs="Times New Roman"/>
          <w:sz w:val="24"/>
        </w:rPr>
        <w:t xml:space="preserve"> is defined in the Uniform Hospital Discharge Data Set (UHDDS) as "that condition established after study to be chiefly responsible for occasioning the admission of the patient to the hospital for care."  The UHDDS definitions are used by hospitals to report inpatient data elements in a standardized manner. These data elements and their definitions can be found in the July 31, 1985, Federal Register (Vol. 50, No, 147), pp. 31038-40.  </w:t>
      </w:r>
    </w:p>
    <w:p w14:paraId="5A858842" w14:textId="77777777" w:rsidR="00991D88" w:rsidRPr="00991D88" w:rsidRDefault="00991D88" w:rsidP="00991D88">
      <w:pPr>
        <w:spacing w:after="0" w:line="240" w:lineRule="auto"/>
        <w:rPr>
          <w:rFonts w:ascii="Times New Roman" w:eastAsia="Calibri" w:hAnsi="Times New Roman" w:cs="Times New Roman"/>
          <w:sz w:val="24"/>
        </w:rPr>
      </w:pPr>
    </w:p>
    <w:p w14:paraId="4FC92BA9" w14:textId="77777777" w:rsidR="00991D88" w:rsidRPr="00991D88" w:rsidRDefault="00991D88" w:rsidP="00991D88">
      <w:pPr>
        <w:spacing w:after="0" w:line="240" w:lineRule="auto"/>
        <w:rPr>
          <w:rFonts w:ascii="Times New Roman" w:eastAsia="Calibri" w:hAnsi="Times New Roman" w:cs="Times New Roman"/>
          <w:b/>
          <w:iCs/>
          <w:sz w:val="24"/>
        </w:rPr>
      </w:pPr>
      <w:r w:rsidRPr="00991D88">
        <w:rPr>
          <w:rFonts w:ascii="Times New Roman" w:eastAsia="Calibri" w:hAnsi="Times New Roman" w:cs="Times New Roman"/>
          <w:b/>
          <w:iCs/>
          <w:sz w:val="24"/>
        </w:rPr>
        <w:t xml:space="preserve">H. Uncertain Diagnosis </w:t>
      </w:r>
    </w:p>
    <w:p w14:paraId="739CCA82" w14:textId="77777777" w:rsidR="00991D88" w:rsidRPr="00991D88" w:rsidRDefault="00991D88" w:rsidP="00991D88">
      <w:pPr>
        <w:spacing w:after="0" w:afterAutospacing="1" w:line="240" w:lineRule="auto"/>
        <w:jc w:val="both"/>
        <w:rPr>
          <w:rFonts w:ascii="Times New Roman" w:eastAsia="Calibri" w:hAnsi="Times New Roman" w:cs="Times New Roman"/>
          <w:sz w:val="24"/>
        </w:rPr>
      </w:pPr>
      <w:r w:rsidRPr="00991D88">
        <w:rPr>
          <w:rFonts w:ascii="Times New Roman" w:eastAsia="Calibri" w:hAnsi="Times New Roman" w:cs="Times New Roman"/>
          <w:sz w:val="24"/>
        </w:rPr>
        <w:lastRenderedPageBreak/>
        <w:t>If the diagnosis documented at the time of discharge is qualified as “probable,” “suspected,” “likely,” “questionable,” “possible,” or “still to be ruled out,” “compatible with,” “consistent with,” or other similar terms indicating uncertainty, code the condition as if it existed or was established. The bases for these guidelines are the diagnostic workup, arrangements for further workup or observation, and initial therapeutic approach that correspond most closely with the established diagnosis.</w:t>
      </w:r>
    </w:p>
    <w:p w14:paraId="6111CE71" w14:textId="77777777" w:rsidR="00991D88" w:rsidRPr="00991D88" w:rsidRDefault="00991D88" w:rsidP="00991D88">
      <w:pPr>
        <w:spacing w:after="0" w:line="240" w:lineRule="auto"/>
        <w:rPr>
          <w:rFonts w:ascii="Times New Roman" w:eastAsia="Calibri" w:hAnsi="Times New Roman" w:cs="Times New Roman"/>
          <w:b/>
          <w:sz w:val="24"/>
        </w:rPr>
      </w:pPr>
      <w:r w:rsidRPr="00991D88">
        <w:rPr>
          <w:rFonts w:ascii="Times New Roman" w:eastAsia="Calibri" w:hAnsi="Times New Roman" w:cs="Times New Roman"/>
          <w:b/>
          <w:sz w:val="24"/>
        </w:rPr>
        <w:t>Section III. Reporting Additional Diagnoses</w:t>
      </w:r>
    </w:p>
    <w:p w14:paraId="0329B094" w14:textId="77777777" w:rsidR="00991D88" w:rsidRPr="00991D88" w:rsidRDefault="00991D88" w:rsidP="00991D88">
      <w:pPr>
        <w:spacing w:after="0" w:line="240" w:lineRule="auto"/>
        <w:rPr>
          <w:rFonts w:ascii="Times New Roman" w:eastAsia="Calibri" w:hAnsi="Times New Roman" w:cs="Times New Roman"/>
          <w:sz w:val="24"/>
        </w:rPr>
      </w:pPr>
      <w:r w:rsidRPr="00991D88">
        <w:rPr>
          <w:rFonts w:ascii="Times New Roman" w:eastAsia="Calibri" w:hAnsi="Times New Roman" w:cs="Times New Roman"/>
          <w:color w:val="000000"/>
          <w:sz w:val="24"/>
        </w:rPr>
        <w:t xml:space="preserve">GENERAL RULES FOR OTHER (ADDITIONAL) DIAGNOSES  </w:t>
      </w:r>
    </w:p>
    <w:p w14:paraId="7167C3FA" w14:textId="77777777" w:rsidR="00991D88" w:rsidRPr="00991D88" w:rsidRDefault="00991D88" w:rsidP="00991D88">
      <w:pPr>
        <w:spacing w:before="100" w:beforeAutospacing="1" w:after="100" w:afterAutospacing="1" w:line="240" w:lineRule="auto"/>
        <w:rPr>
          <w:rFonts w:ascii="Times New Roman" w:eastAsia="Times New Roman" w:hAnsi="Times New Roman" w:cs="Times New Roman"/>
          <w:color w:val="000000"/>
          <w:sz w:val="24"/>
          <w:szCs w:val="24"/>
        </w:rPr>
      </w:pPr>
      <w:r w:rsidRPr="00991D88">
        <w:rPr>
          <w:rFonts w:ascii="Times New Roman" w:eastAsia="Times New Roman" w:hAnsi="Times New Roman" w:cs="Times New Roman"/>
          <w:color w:val="000000"/>
          <w:sz w:val="24"/>
          <w:szCs w:val="24"/>
        </w:rPr>
        <w:t>The UHDDS item #11-b defines Other Diagnoses as "all conditions that coexist at the time of admission, that develop subsequently, or that affect the treatment received and/or the length of stay.</w:t>
      </w:r>
    </w:p>
    <w:p w14:paraId="718D6A8A" w14:textId="34D64017" w:rsidR="00552964" w:rsidRPr="00552964" w:rsidRDefault="00991D88" w:rsidP="00991D88">
      <w:pPr>
        <w:spacing w:after="0" w:line="240" w:lineRule="auto"/>
        <w:rPr>
          <w:rFonts w:ascii="Times New Roman" w:eastAsia="Calibri" w:hAnsi="Times New Roman" w:cs="Times New Roman"/>
          <w:sz w:val="24"/>
        </w:rPr>
      </w:pPr>
      <w:r w:rsidRPr="00991D88">
        <w:rPr>
          <w:rFonts w:ascii="Times New Roman" w:eastAsia="Calibri" w:hAnsi="Times New Roman" w:cs="Times New Roman"/>
          <w:sz w:val="24"/>
        </w:rPr>
        <w:t>For reporting purposes, the definition for "other diagnoses" is interpreted as additional conditions that affect patient care in terms of requiring</w:t>
      </w:r>
      <w:r w:rsidR="00552964" w:rsidRPr="00552964">
        <w:rPr>
          <w:rFonts w:ascii="Times New Roman" w:eastAsia="Calibri" w:hAnsi="Times New Roman" w:cs="Times New Roman"/>
          <w:sz w:val="24"/>
        </w:rPr>
        <w:t xml:space="preserve">: </w:t>
      </w:r>
    </w:p>
    <w:p w14:paraId="593D2A7D" w14:textId="77777777" w:rsidR="00552964" w:rsidRPr="00552964" w:rsidRDefault="00552964" w:rsidP="00552964">
      <w:pPr>
        <w:numPr>
          <w:ilvl w:val="0"/>
          <w:numId w:val="1"/>
        </w:numPr>
        <w:spacing w:after="0" w:afterAutospacing="1" w:line="240" w:lineRule="auto"/>
        <w:rPr>
          <w:rFonts w:ascii="Times New Roman" w:eastAsia="Calibri" w:hAnsi="Times New Roman" w:cs="Times New Roman"/>
          <w:sz w:val="24"/>
        </w:rPr>
      </w:pPr>
      <w:r w:rsidRPr="00552964">
        <w:rPr>
          <w:rFonts w:ascii="Times New Roman" w:eastAsia="Calibri" w:hAnsi="Times New Roman" w:cs="Times New Roman"/>
          <w:sz w:val="24"/>
        </w:rPr>
        <w:t xml:space="preserve">Clinical Evaluation; </w:t>
      </w:r>
      <w:r w:rsidRPr="00552964">
        <w:rPr>
          <w:rFonts w:ascii="Times New Roman" w:eastAsia="Calibri" w:hAnsi="Times New Roman" w:cs="Times New Roman"/>
          <w:i/>
          <w:color w:val="FF0000"/>
          <w:sz w:val="24"/>
        </w:rPr>
        <w:t>MET as evidenced by</w:t>
      </w:r>
      <w:r w:rsidRPr="00552964">
        <w:rPr>
          <w:rFonts w:ascii="Times New Roman" w:eastAsia="Calibri" w:hAnsi="Times New Roman" w:cs="Times New Roman"/>
          <w:color w:val="FF0000"/>
          <w:sz w:val="24"/>
        </w:rPr>
        <w:t xml:space="preserve"> </w:t>
      </w:r>
    </w:p>
    <w:p w14:paraId="1A93EF14" w14:textId="77777777" w:rsidR="00552964" w:rsidRPr="00552964" w:rsidRDefault="00552964" w:rsidP="00552964">
      <w:pPr>
        <w:numPr>
          <w:ilvl w:val="0"/>
          <w:numId w:val="1"/>
        </w:numPr>
        <w:spacing w:after="0" w:afterAutospacing="1" w:line="240" w:lineRule="auto"/>
        <w:rPr>
          <w:rFonts w:ascii="Times New Roman" w:eastAsia="Calibri" w:hAnsi="Times New Roman" w:cs="Times New Roman"/>
          <w:b/>
          <w:color w:val="FF0000"/>
          <w:sz w:val="24"/>
        </w:rPr>
      </w:pPr>
      <w:r w:rsidRPr="00552964">
        <w:rPr>
          <w:rFonts w:ascii="Times New Roman" w:eastAsia="Calibri" w:hAnsi="Times New Roman" w:cs="Times New Roman"/>
          <w:b/>
          <w:sz w:val="24"/>
          <w:u w:val="single"/>
        </w:rPr>
        <w:t>or</w:t>
      </w:r>
      <w:r w:rsidRPr="00552964">
        <w:rPr>
          <w:rFonts w:ascii="Times New Roman" w:eastAsia="Calibri" w:hAnsi="Times New Roman" w:cs="Times New Roman"/>
          <w:sz w:val="24"/>
        </w:rPr>
        <w:t xml:space="preserve"> Therapeutic Treatment; </w:t>
      </w:r>
      <w:r w:rsidRPr="00552964">
        <w:rPr>
          <w:rFonts w:ascii="Times New Roman" w:eastAsia="Calibri" w:hAnsi="Times New Roman" w:cs="Times New Roman"/>
          <w:i/>
          <w:color w:val="FF0000"/>
          <w:sz w:val="24"/>
        </w:rPr>
        <w:t>MET as evidenced by</w:t>
      </w:r>
    </w:p>
    <w:p w14:paraId="38479ACC" w14:textId="77777777" w:rsidR="00552964" w:rsidRPr="00552964" w:rsidRDefault="00552964" w:rsidP="00552964">
      <w:pPr>
        <w:numPr>
          <w:ilvl w:val="0"/>
          <w:numId w:val="1"/>
        </w:numPr>
        <w:spacing w:after="0" w:afterAutospacing="1" w:line="240" w:lineRule="auto"/>
        <w:rPr>
          <w:rFonts w:ascii="Times New Roman" w:eastAsia="Calibri" w:hAnsi="Times New Roman" w:cs="Times New Roman"/>
          <w:b/>
          <w:color w:val="FF0000"/>
          <w:sz w:val="24"/>
        </w:rPr>
      </w:pPr>
      <w:r w:rsidRPr="00552964">
        <w:rPr>
          <w:rFonts w:ascii="Times New Roman" w:eastAsia="Calibri" w:hAnsi="Times New Roman" w:cs="Times New Roman"/>
          <w:b/>
          <w:sz w:val="24"/>
          <w:u w:val="single"/>
        </w:rPr>
        <w:t>or</w:t>
      </w:r>
      <w:r w:rsidRPr="00552964">
        <w:rPr>
          <w:rFonts w:ascii="Times New Roman" w:eastAsia="Calibri" w:hAnsi="Times New Roman" w:cs="Times New Roman"/>
          <w:sz w:val="24"/>
        </w:rPr>
        <w:t xml:space="preserve"> Diagnostic Procedures; </w:t>
      </w:r>
      <w:r w:rsidRPr="00552964">
        <w:rPr>
          <w:rFonts w:ascii="Times New Roman" w:eastAsia="Calibri" w:hAnsi="Times New Roman" w:cs="Times New Roman"/>
          <w:i/>
          <w:color w:val="FF0000"/>
          <w:sz w:val="24"/>
        </w:rPr>
        <w:t>MET as evidenced by</w:t>
      </w:r>
    </w:p>
    <w:p w14:paraId="2E0A575B" w14:textId="77777777" w:rsidR="00552964" w:rsidRPr="00552964" w:rsidRDefault="00552964" w:rsidP="00552964">
      <w:pPr>
        <w:numPr>
          <w:ilvl w:val="0"/>
          <w:numId w:val="1"/>
        </w:numPr>
        <w:spacing w:after="0" w:afterAutospacing="1" w:line="240" w:lineRule="auto"/>
        <w:rPr>
          <w:rFonts w:ascii="Times New Roman" w:eastAsia="Calibri" w:hAnsi="Times New Roman" w:cs="Times New Roman"/>
          <w:i/>
          <w:color w:val="FF0000"/>
          <w:sz w:val="24"/>
        </w:rPr>
      </w:pPr>
      <w:r w:rsidRPr="00552964">
        <w:rPr>
          <w:rFonts w:ascii="Times New Roman" w:eastAsia="Calibri" w:hAnsi="Times New Roman" w:cs="Times New Roman"/>
          <w:b/>
          <w:sz w:val="24"/>
          <w:u w:val="single"/>
        </w:rPr>
        <w:t xml:space="preserve">or </w:t>
      </w:r>
      <w:r w:rsidRPr="00552964">
        <w:rPr>
          <w:rFonts w:ascii="Times New Roman" w:eastAsia="Calibri" w:hAnsi="Times New Roman" w:cs="Times New Roman"/>
          <w:sz w:val="24"/>
        </w:rPr>
        <w:t xml:space="preserve">Extended Length of Hospital Stay, </w:t>
      </w:r>
      <w:r w:rsidRPr="00552964">
        <w:rPr>
          <w:rFonts w:ascii="Times New Roman" w:eastAsia="Calibri" w:hAnsi="Times New Roman" w:cs="Times New Roman"/>
          <w:i/>
          <w:color w:val="FF0000"/>
          <w:sz w:val="24"/>
        </w:rPr>
        <w:t>MET as evidenced by</w:t>
      </w:r>
    </w:p>
    <w:p w14:paraId="126D514B" w14:textId="5022365E" w:rsidR="00552964" w:rsidRPr="00991D88" w:rsidRDefault="00552964" w:rsidP="00552964">
      <w:pPr>
        <w:numPr>
          <w:ilvl w:val="0"/>
          <w:numId w:val="1"/>
        </w:numPr>
        <w:spacing w:after="0" w:afterAutospacing="1" w:line="240" w:lineRule="auto"/>
        <w:rPr>
          <w:rFonts w:ascii="Times New Roman" w:eastAsia="Calibri" w:hAnsi="Times New Roman" w:cs="Times New Roman"/>
          <w:sz w:val="24"/>
        </w:rPr>
      </w:pPr>
      <w:r w:rsidRPr="00552964">
        <w:rPr>
          <w:rFonts w:ascii="Times New Roman" w:eastAsia="Calibri" w:hAnsi="Times New Roman" w:cs="Times New Roman"/>
          <w:b/>
          <w:sz w:val="24"/>
          <w:u w:val="single"/>
        </w:rPr>
        <w:t>or</w:t>
      </w:r>
      <w:r w:rsidRPr="00552964">
        <w:rPr>
          <w:rFonts w:ascii="Times New Roman" w:eastAsia="Calibri" w:hAnsi="Times New Roman" w:cs="Times New Roman"/>
          <w:sz w:val="24"/>
        </w:rPr>
        <w:t xml:space="preserve"> Increased Nursing Care and/or Monitoring. </w:t>
      </w:r>
      <w:r w:rsidRPr="00552964">
        <w:rPr>
          <w:rFonts w:ascii="Times New Roman" w:eastAsia="Calibri" w:hAnsi="Times New Roman" w:cs="Times New Roman"/>
          <w:i/>
          <w:color w:val="FF0000"/>
          <w:sz w:val="24"/>
        </w:rPr>
        <w:t>MET as evidenced by</w:t>
      </w:r>
    </w:p>
    <w:p w14:paraId="06D45782" w14:textId="77777777" w:rsidR="00D326A1" w:rsidRDefault="00552964" w:rsidP="00552964">
      <w:pPr>
        <w:spacing w:after="0" w:line="240" w:lineRule="auto"/>
        <w:rPr>
          <w:rFonts w:ascii="Times New Roman" w:eastAsia="Calibri" w:hAnsi="Times New Roman" w:cs="Times New Roman"/>
          <w:b/>
          <w:i/>
          <w:sz w:val="24"/>
        </w:rPr>
      </w:pPr>
      <w:r w:rsidRPr="00552964">
        <w:rPr>
          <w:rFonts w:ascii="Times New Roman" w:eastAsia="Calibri" w:hAnsi="Times New Roman" w:cs="Times New Roman"/>
          <w:b/>
          <w:i/>
          <w:sz w:val="24"/>
          <w:u w:val="single"/>
        </w:rPr>
        <w:t xml:space="preserve">Please note that only ONE of the above criteria needs to be met in order to make the diagnosis </w:t>
      </w:r>
      <w:r w:rsidRPr="00552964">
        <w:rPr>
          <w:rFonts w:ascii="Times New Roman" w:eastAsia="Calibri" w:hAnsi="Times New Roman" w:cs="Times New Roman"/>
          <w:b/>
          <w:i/>
          <w:sz w:val="24"/>
        </w:rPr>
        <w:t>reportable (“codeable”).</w:t>
      </w:r>
    </w:p>
    <w:p w14:paraId="1B2DBE9E" w14:textId="77777777" w:rsidR="00E91568" w:rsidRDefault="00E91568" w:rsidP="00552964">
      <w:pPr>
        <w:spacing w:after="0" w:line="240" w:lineRule="auto"/>
        <w:rPr>
          <w:rFonts w:ascii="Times New Roman" w:eastAsia="Calibri" w:hAnsi="Times New Roman" w:cs="Times New Roman"/>
          <w:b/>
          <w:i/>
          <w:sz w:val="24"/>
        </w:rPr>
      </w:pPr>
    </w:p>
    <w:p w14:paraId="44F66334" w14:textId="77777777" w:rsidR="00D326A1" w:rsidRPr="00D326A1" w:rsidRDefault="00D326A1" w:rsidP="00D326A1">
      <w:pPr>
        <w:tabs>
          <w:tab w:val="left" w:pos="295"/>
        </w:tabs>
        <w:spacing w:after="0" w:line="240" w:lineRule="auto"/>
        <w:rPr>
          <w:rFonts w:ascii="Times New Roman" w:eastAsia="Times New Roman" w:hAnsi="Times New Roman" w:cs="Times New Roman"/>
          <w:b/>
          <w:color w:val="000000"/>
          <w:sz w:val="24"/>
          <w:szCs w:val="24"/>
          <w:u w:val="single"/>
          <w:lang w:bidi="he-IL"/>
        </w:rPr>
      </w:pPr>
      <w:r>
        <w:rPr>
          <w:rFonts w:ascii="Times New Roman" w:eastAsia="Times New Roman" w:hAnsi="Times New Roman" w:cs="Times New Roman"/>
          <w:b/>
          <w:color w:val="000000"/>
          <w:sz w:val="24"/>
          <w:szCs w:val="24"/>
          <w:u w:val="single"/>
          <w:lang w:bidi="he-IL"/>
        </w:rPr>
        <w:t>ICD-10</w:t>
      </w:r>
      <w:r w:rsidRPr="00D326A1">
        <w:rPr>
          <w:rFonts w:ascii="Times New Roman" w:eastAsia="Times New Roman" w:hAnsi="Times New Roman" w:cs="Times New Roman"/>
          <w:b/>
          <w:color w:val="000000"/>
          <w:sz w:val="24"/>
          <w:szCs w:val="24"/>
          <w:u w:val="single"/>
          <w:lang w:bidi="he-IL"/>
        </w:rPr>
        <w:t xml:space="preserve">-CM </w:t>
      </w:r>
      <w:r>
        <w:rPr>
          <w:rFonts w:ascii="Times New Roman" w:eastAsia="Times New Roman" w:hAnsi="Times New Roman" w:cs="Times New Roman"/>
          <w:b/>
          <w:color w:val="000000"/>
          <w:sz w:val="24"/>
          <w:szCs w:val="24"/>
          <w:u w:val="single"/>
          <w:lang w:bidi="he-IL"/>
        </w:rPr>
        <w:t>Pertinent</w:t>
      </w:r>
      <w:r w:rsidRPr="00D326A1">
        <w:rPr>
          <w:rFonts w:ascii="Times New Roman" w:eastAsia="Times New Roman" w:hAnsi="Times New Roman" w:cs="Times New Roman"/>
          <w:b/>
          <w:color w:val="000000"/>
          <w:sz w:val="24"/>
          <w:szCs w:val="24"/>
          <w:u w:val="single"/>
          <w:lang w:bidi="he-IL"/>
        </w:rPr>
        <w:t xml:space="preserve"> Codes and Descriptions:</w:t>
      </w:r>
    </w:p>
    <w:p w14:paraId="3B489762" w14:textId="77777777" w:rsidR="00332775" w:rsidRPr="00332775" w:rsidRDefault="00332775" w:rsidP="00552964">
      <w:pPr>
        <w:spacing w:after="0" w:line="240" w:lineRule="auto"/>
        <w:rPr>
          <w:rFonts w:ascii="Times New Roman" w:eastAsia="Calibri" w:hAnsi="Times New Roman" w:cs="Times New Roman"/>
          <w:sz w:val="24"/>
        </w:rPr>
      </w:pPr>
      <w:r w:rsidRPr="00332775">
        <w:rPr>
          <w:rFonts w:ascii="Times New Roman" w:eastAsia="Calibri" w:hAnsi="Times New Roman" w:cs="Times New Roman"/>
          <w:sz w:val="24"/>
        </w:rPr>
        <w:t>Injury</w:t>
      </w:r>
    </w:p>
    <w:p w14:paraId="6AE46E1B" w14:textId="77777777" w:rsidR="00332775" w:rsidRPr="00332775" w:rsidRDefault="00332775" w:rsidP="00332775">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00B610CB">
        <w:rPr>
          <w:rFonts w:ascii="Times New Roman" w:eastAsia="Calibri" w:hAnsi="Times New Roman" w:cs="Times New Roman"/>
          <w:sz w:val="24"/>
        </w:rPr>
        <w:t xml:space="preserve">  </w:t>
      </w:r>
      <w:r w:rsidRPr="00332775">
        <w:rPr>
          <w:rFonts w:ascii="Times New Roman" w:eastAsia="Calibri" w:hAnsi="Times New Roman" w:cs="Times New Roman"/>
          <w:sz w:val="24"/>
        </w:rPr>
        <w:t>Kidney</w:t>
      </w:r>
    </w:p>
    <w:p w14:paraId="5860E40A" w14:textId="77777777" w:rsidR="00332775" w:rsidRDefault="00332775" w:rsidP="00332775">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00B610CB">
        <w:rPr>
          <w:rFonts w:ascii="Times New Roman" w:eastAsia="Calibri" w:hAnsi="Times New Roman" w:cs="Times New Roman"/>
          <w:sz w:val="24"/>
        </w:rPr>
        <w:t xml:space="preserve">  </w:t>
      </w:r>
      <w:r w:rsidRPr="00332775">
        <w:rPr>
          <w:rFonts w:ascii="Times New Roman" w:eastAsia="Calibri" w:hAnsi="Times New Roman" w:cs="Times New Roman"/>
          <w:sz w:val="24"/>
        </w:rPr>
        <w:t>Acute (nontraumatic) N17.9</w:t>
      </w:r>
    </w:p>
    <w:p w14:paraId="18193292" w14:textId="77777777" w:rsidR="00A67F89" w:rsidRDefault="00A67F89" w:rsidP="00332775">
      <w:pPr>
        <w:spacing w:after="0" w:line="240" w:lineRule="auto"/>
        <w:rPr>
          <w:rFonts w:ascii="Times New Roman" w:eastAsia="Calibri" w:hAnsi="Times New Roman" w:cs="Times New Roman"/>
          <w:sz w:val="24"/>
        </w:rPr>
      </w:pPr>
      <w:r>
        <w:rPr>
          <w:rFonts w:ascii="Times New Roman" w:eastAsia="Calibri" w:hAnsi="Times New Roman" w:cs="Times New Roman"/>
          <w:sz w:val="24"/>
        </w:rPr>
        <w:t>Necrosis</w:t>
      </w:r>
    </w:p>
    <w:p w14:paraId="19B5C3D6" w14:textId="77777777" w:rsidR="00A67F89" w:rsidRDefault="00A67F89" w:rsidP="00332775">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Tubular (acute, anoxic, renal, toxic) N17.0</w:t>
      </w:r>
    </w:p>
    <w:p w14:paraId="6D26B671" w14:textId="77777777" w:rsidR="00A67F89" w:rsidRDefault="00A67F89" w:rsidP="00332775">
      <w:pPr>
        <w:spacing w:after="0" w:line="240" w:lineRule="auto"/>
        <w:rPr>
          <w:rFonts w:ascii="Times New Roman" w:eastAsia="Calibri" w:hAnsi="Times New Roman" w:cs="Times New Roman"/>
          <w:sz w:val="24"/>
        </w:rPr>
      </w:pPr>
      <w:r>
        <w:rPr>
          <w:rFonts w:ascii="Times New Roman" w:eastAsia="Calibri" w:hAnsi="Times New Roman" w:cs="Times New Roman"/>
          <w:sz w:val="24"/>
        </w:rPr>
        <w:tab/>
        <w:t>Postprocedural N99.0</w:t>
      </w:r>
    </w:p>
    <w:p w14:paraId="0131F4C1" w14:textId="77777777" w:rsidR="00A67F89" w:rsidRDefault="00A67F89" w:rsidP="00332775">
      <w:pPr>
        <w:spacing w:after="0" w:line="240" w:lineRule="auto"/>
        <w:rPr>
          <w:rFonts w:ascii="Times New Roman" w:eastAsia="Calibri" w:hAnsi="Times New Roman" w:cs="Times New Roman"/>
          <w:sz w:val="24"/>
        </w:rPr>
      </w:pPr>
      <w:r>
        <w:rPr>
          <w:rFonts w:ascii="Times New Roman" w:eastAsia="Calibri" w:hAnsi="Times New Roman" w:cs="Times New Roman"/>
          <w:sz w:val="24"/>
        </w:rPr>
        <w:t>Failure</w:t>
      </w:r>
    </w:p>
    <w:p w14:paraId="74875292" w14:textId="77777777" w:rsidR="00A67F89" w:rsidRDefault="00A67F89" w:rsidP="00A67F89">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Renal</w:t>
      </w:r>
      <w:r w:rsidR="004E3CC3">
        <w:rPr>
          <w:rFonts w:ascii="Times New Roman" w:eastAsia="Calibri" w:hAnsi="Times New Roman" w:cs="Times New Roman"/>
          <w:sz w:val="24"/>
        </w:rPr>
        <w:t xml:space="preserve"> </w:t>
      </w:r>
    </w:p>
    <w:p w14:paraId="0677AFAB" w14:textId="77777777" w:rsidR="00A67F89" w:rsidRPr="00332775" w:rsidRDefault="00A67F89" w:rsidP="00A67F89">
      <w:pPr>
        <w:spacing w:after="0" w:line="240" w:lineRule="auto"/>
        <w:ind w:firstLine="720"/>
        <w:rPr>
          <w:rFonts w:ascii="Times New Roman" w:eastAsia="Calibri" w:hAnsi="Times New Roman" w:cs="Times New Roman"/>
          <w:sz w:val="24"/>
        </w:rPr>
      </w:pPr>
      <w:r>
        <w:rPr>
          <w:rFonts w:ascii="Times New Roman" w:eastAsia="Calibri" w:hAnsi="Times New Roman" w:cs="Times New Roman"/>
          <w:sz w:val="24"/>
        </w:rPr>
        <w:t>with tubular necrosis (acute) N17.0</w:t>
      </w:r>
    </w:p>
    <w:p w14:paraId="389ADF1B" w14:textId="77777777" w:rsidR="00A67F89" w:rsidRDefault="00A67F89" w:rsidP="00A67F89">
      <w:pPr>
        <w:spacing w:after="0" w:line="240" w:lineRule="auto"/>
        <w:ind w:firstLine="720"/>
        <w:rPr>
          <w:rFonts w:ascii="Times New Roman" w:eastAsia="Calibri" w:hAnsi="Times New Roman" w:cs="Times New Roman"/>
          <w:sz w:val="24"/>
        </w:rPr>
      </w:pPr>
      <w:r>
        <w:rPr>
          <w:rFonts w:ascii="Times New Roman" w:eastAsia="Calibri" w:hAnsi="Times New Roman" w:cs="Times New Roman"/>
          <w:sz w:val="24"/>
        </w:rPr>
        <w:t>Acute N17.9</w:t>
      </w:r>
    </w:p>
    <w:p w14:paraId="286DDA30" w14:textId="77777777" w:rsidR="00A67F89" w:rsidRDefault="00A67F89" w:rsidP="00A67F89">
      <w:pPr>
        <w:spacing w:after="0" w:line="240" w:lineRule="auto"/>
        <w:ind w:firstLine="720"/>
        <w:rPr>
          <w:rFonts w:ascii="Times New Roman" w:eastAsia="Calibri" w:hAnsi="Times New Roman" w:cs="Times New Roman"/>
          <w:sz w:val="24"/>
        </w:rPr>
      </w:pPr>
      <w:r>
        <w:rPr>
          <w:rFonts w:ascii="Times New Roman" w:eastAsia="Calibri" w:hAnsi="Times New Roman" w:cs="Times New Roman"/>
          <w:sz w:val="24"/>
        </w:rPr>
        <w:t xml:space="preserve">    </w:t>
      </w:r>
      <w:r>
        <w:rPr>
          <w:rFonts w:ascii="Times New Roman" w:eastAsia="Calibri" w:hAnsi="Times New Roman" w:cs="Times New Roman"/>
          <w:sz w:val="24"/>
        </w:rPr>
        <w:tab/>
        <w:t>w</w:t>
      </w:r>
      <w:r w:rsidRPr="00A67F89">
        <w:rPr>
          <w:rFonts w:ascii="Times New Roman" w:eastAsia="Calibri" w:hAnsi="Times New Roman" w:cs="Times New Roman"/>
          <w:sz w:val="24"/>
        </w:rPr>
        <w:t>ith cortical necrosis</w:t>
      </w:r>
      <w:r>
        <w:rPr>
          <w:rFonts w:ascii="Times New Roman" w:eastAsia="Calibri" w:hAnsi="Times New Roman" w:cs="Times New Roman"/>
          <w:sz w:val="24"/>
        </w:rPr>
        <w:t xml:space="preserve"> N17.1</w:t>
      </w:r>
    </w:p>
    <w:p w14:paraId="195832F0" w14:textId="77777777" w:rsidR="00A67F89" w:rsidRDefault="00D158F1" w:rsidP="00A67F89">
      <w:pPr>
        <w:spacing w:after="0" w:line="240" w:lineRule="auto"/>
        <w:ind w:left="720" w:firstLine="720"/>
        <w:rPr>
          <w:rFonts w:ascii="Times New Roman" w:eastAsia="Calibri" w:hAnsi="Times New Roman" w:cs="Times New Roman"/>
          <w:sz w:val="24"/>
        </w:rPr>
      </w:pPr>
      <w:r>
        <w:rPr>
          <w:rFonts w:ascii="Times New Roman" w:eastAsia="Calibri" w:hAnsi="Times New Roman" w:cs="Times New Roman"/>
          <w:sz w:val="24"/>
        </w:rPr>
        <w:t>with medullary nec</w:t>
      </w:r>
      <w:r w:rsidR="00A67F89">
        <w:rPr>
          <w:rFonts w:ascii="Times New Roman" w:eastAsia="Calibri" w:hAnsi="Times New Roman" w:cs="Times New Roman"/>
          <w:sz w:val="24"/>
        </w:rPr>
        <w:t>rosis N17.2</w:t>
      </w:r>
    </w:p>
    <w:p w14:paraId="67A6F04F" w14:textId="77777777" w:rsidR="00A67F89" w:rsidRPr="00A67F89" w:rsidRDefault="00A67F89" w:rsidP="00A67F89">
      <w:pPr>
        <w:spacing w:after="0" w:line="240" w:lineRule="auto"/>
        <w:ind w:firstLine="720"/>
        <w:rPr>
          <w:rFonts w:ascii="Times New Roman" w:eastAsia="Calibri" w:hAnsi="Times New Roman" w:cs="Times New Roman"/>
          <w:sz w:val="24"/>
        </w:rPr>
      </w:pPr>
      <w:r>
        <w:rPr>
          <w:rFonts w:ascii="Times New Roman" w:eastAsia="Calibri" w:hAnsi="Times New Roman" w:cs="Times New Roman"/>
          <w:sz w:val="24"/>
        </w:rPr>
        <w:tab/>
        <w:t>with tubular necrosis N17.0</w:t>
      </w:r>
    </w:p>
    <w:p w14:paraId="0A5DFFB6" w14:textId="4D03DC39" w:rsidR="00552964" w:rsidRPr="00552964" w:rsidRDefault="00552964" w:rsidP="00552964">
      <w:pPr>
        <w:spacing w:after="0" w:line="240" w:lineRule="auto"/>
        <w:rPr>
          <w:rFonts w:ascii="Times New Roman" w:eastAsia="Calibri" w:hAnsi="Times New Roman" w:cs="Times New Roman"/>
          <w:sz w:val="24"/>
          <w:u w:val="single"/>
        </w:rPr>
      </w:pPr>
      <w:r w:rsidRPr="00552964">
        <w:rPr>
          <w:rFonts w:ascii="Times New Roman" w:eastAsia="Calibri" w:hAnsi="Times New Roman" w:cs="Times New Roman"/>
          <w:sz w:val="24"/>
          <w:u w:val="single"/>
        </w:rPr>
        <w:t>___________________________________________________________</w:t>
      </w:r>
      <w:r w:rsidR="00A67F89">
        <w:rPr>
          <w:rFonts w:ascii="Times New Roman" w:eastAsia="Calibri" w:hAnsi="Times New Roman" w:cs="Times New Roman"/>
          <w:sz w:val="24"/>
          <w:u w:val="single"/>
        </w:rPr>
        <w:t>_______________</w:t>
      </w:r>
      <w:r w:rsidR="00531E5E">
        <w:rPr>
          <w:rFonts w:ascii="Times New Roman" w:eastAsia="Calibri" w:hAnsi="Times New Roman" w:cs="Times New Roman"/>
          <w:sz w:val="24"/>
          <w:u w:val="single"/>
        </w:rPr>
        <w:t>____</w:t>
      </w:r>
    </w:p>
    <w:p w14:paraId="5327AA01" w14:textId="77777777" w:rsidR="00AF63CD" w:rsidRDefault="00AF63CD" w:rsidP="00AF63CD">
      <w:pPr>
        <w:spacing w:after="0" w:line="240" w:lineRule="auto"/>
        <w:jc w:val="center"/>
        <w:rPr>
          <w:rFonts w:ascii="Times New Roman" w:eastAsia="Calibri" w:hAnsi="Times New Roman" w:cs="Times New Roman"/>
          <w:b/>
          <w:sz w:val="24"/>
        </w:rPr>
      </w:pPr>
    </w:p>
    <w:p w14:paraId="33B1CDBE" w14:textId="128A5D95" w:rsidR="00560AA0" w:rsidRPr="00531E5E" w:rsidRDefault="00560AA0" w:rsidP="00560AA0">
      <w:pPr>
        <w:pStyle w:val="NoSpacing"/>
        <w:jc w:val="center"/>
        <w:rPr>
          <w:b/>
        </w:rPr>
      </w:pPr>
      <w:r w:rsidRPr="00531E5E">
        <w:rPr>
          <w:b/>
        </w:rPr>
        <w:t xml:space="preserve">Diagnostic and Evidence Based Clinical </w:t>
      </w:r>
      <w:r w:rsidR="00462086">
        <w:rPr>
          <w:b/>
        </w:rPr>
        <w:t>References</w:t>
      </w:r>
    </w:p>
    <w:p w14:paraId="08BEFB9A" w14:textId="77777777" w:rsidR="00A125E9" w:rsidRPr="00552964" w:rsidRDefault="00A125E9" w:rsidP="00A125E9">
      <w:pPr>
        <w:spacing w:after="0" w:line="240" w:lineRule="auto"/>
        <w:jc w:val="center"/>
        <w:rPr>
          <w:rFonts w:ascii="Times New Roman" w:eastAsia="Calibri" w:hAnsi="Times New Roman" w:cs="Times New Roman"/>
          <w:i/>
          <w:color w:val="FF0000"/>
          <w:sz w:val="24"/>
        </w:rPr>
      </w:pPr>
      <w:r w:rsidRPr="00552964">
        <w:rPr>
          <w:rFonts w:ascii="Times New Roman" w:eastAsia="Calibri" w:hAnsi="Times New Roman" w:cs="Times New Roman"/>
          <w:i/>
          <w:color w:val="FF0000"/>
          <w:sz w:val="24"/>
        </w:rPr>
        <w:t>Bold the bullet points that apply and remove the sections from gray bar to gray bar if no bullet points in the section appl</w:t>
      </w:r>
      <w:r>
        <w:rPr>
          <w:rFonts w:ascii="Times New Roman" w:eastAsia="Calibri" w:hAnsi="Times New Roman" w:cs="Times New Roman"/>
          <w:i/>
          <w:color w:val="FF0000"/>
          <w:sz w:val="24"/>
        </w:rPr>
        <w:t>y.</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7085"/>
      </w:tblGrid>
      <w:tr w:rsidR="00AF63CD" w:rsidRPr="00AF63CD" w14:paraId="04672EBE" w14:textId="77777777" w:rsidTr="00531E5E">
        <w:tc>
          <w:tcPr>
            <w:tcW w:w="2275" w:type="dxa"/>
            <w:shd w:val="clear" w:color="auto" w:fill="D9D9D9"/>
          </w:tcPr>
          <w:p w14:paraId="3522E5D8" w14:textId="77777777" w:rsidR="00AF63CD" w:rsidRPr="00AF63CD" w:rsidRDefault="00AF63CD" w:rsidP="00AF63CD">
            <w:pPr>
              <w:spacing w:after="0" w:line="240" w:lineRule="auto"/>
              <w:rPr>
                <w:rFonts w:ascii="Times New Roman" w:hAnsi="Times New Roman" w:cs="Times New Roman"/>
                <w:sz w:val="12"/>
                <w:szCs w:val="24"/>
              </w:rPr>
            </w:pPr>
          </w:p>
        </w:tc>
        <w:tc>
          <w:tcPr>
            <w:tcW w:w="7085" w:type="dxa"/>
            <w:shd w:val="clear" w:color="auto" w:fill="D9D9D9"/>
          </w:tcPr>
          <w:p w14:paraId="16D855FB" w14:textId="77777777" w:rsidR="00AF63CD" w:rsidRPr="00AF63CD" w:rsidRDefault="00AF63CD" w:rsidP="00AF63CD">
            <w:pPr>
              <w:spacing w:after="0" w:line="240" w:lineRule="auto"/>
              <w:rPr>
                <w:rFonts w:ascii="Times New Roman" w:hAnsi="Times New Roman" w:cs="Times New Roman"/>
                <w:sz w:val="12"/>
                <w:szCs w:val="24"/>
              </w:rPr>
            </w:pPr>
          </w:p>
        </w:tc>
      </w:tr>
      <w:tr w:rsidR="00332DAF" w:rsidRPr="00AF63CD" w14:paraId="1CAE0948" w14:textId="77777777" w:rsidTr="00531E5E">
        <w:tc>
          <w:tcPr>
            <w:tcW w:w="2275" w:type="dxa"/>
            <w:tcBorders>
              <w:top w:val="single" w:sz="4" w:space="0" w:color="auto"/>
              <w:left w:val="single" w:sz="4" w:space="0" w:color="auto"/>
              <w:bottom w:val="single" w:sz="4" w:space="0" w:color="auto"/>
              <w:right w:val="single" w:sz="4" w:space="0" w:color="auto"/>
            </w:tcBorders>
          </w:tcPr>
          <w:p w14:paraId="0578D71D" w14:textId="77777777" w:rsidR="00332DAF" w:rsidRPr="00AF63CD" w:rsidRDefault="00332DAF" w:rsidP="00332DAF">
            <w:pPr>
              <w:spacing w:after="0" w:line="240" w:lineRule="auto"/>
              <w:rPr>
                <w:rFonts w:ascii="Times New Roman" w:hAnsi="Times New Roman" w:cs="Times New Roman"/>
                <w:b/>
                <w:sz w:val="24"/>
                <w:szCs w:val="24"/>
              </w:rPr>
            </w:pPr>
            <w:bookmarkStart w:id="2" w:name="_Hlk153891502"/>
            <w:r w:rsidRPr="00AF63CD">
              <w:rPr>
                <w:rFonts w:ascii="Times New Roman" w:hAnsi="Times New Roman" w:cs="Times New Roman"/>
                <w:b/>
                <w:sz w:val="24"/>
                <w:szCs w:val="24"/>
              </w:rPr>
              <w:t xml:space="preserve">Source/Reference </w:t>
            </w:r>
          </w:p>
        </w:tc>
        <w:tc>
          <w:tcPr>
            <w:tcW w:w="7085" w:type="dxa"/>
            <w:tcBorders>
              <w:top w:val="single" w:sz="4" w:space="0" w:color="auto"/>
              <w:left w:val="single" w:sz="4" w:space="0" w:color="auto"/>
              <w:bottom w:val="single" w:sz="4" w:space="0" w:color="auto"/>
              <w:right w:val="single" w:sz="4" w:space="0" w:color="auto"/>
            </w:tcBorders>
          </w:tcPr>
          <w:p w14:paraId="714CA19C" w14:textId="77777777" w:rsidR="00FD008E" w:rsidRPr="00FD008E" w:rsidRDefault="00FD008E" w:rsidP="00FD008E">
            <w:pPr>
              <w:spacing w:after="0" w:line="240" w:lineRule="auto"/>
              <w:rPr>
                <w:rFonts w:ascii="Times New Roman" w:hAnsi="Times New Roman" w:cs="Times New Roman"/>
                <w:b/>
                <w:bCs/>
                <w:sz w:val="24"/>
                <w:szCs w:val="24"/>
              </w:rPr>
            </w:pPr>
            <w:r w:rsidRPr="00FD008E">
              <w:rPr>
                <w:rFonts w:ascii="Times New Roman" w:hAnsi="Times New Roman" w:cs="Times New Roman"/>
                <w:b/>
                <w:bCs/>
                <w:sz w:val="24"/>
                <w:szCs w:val="24"/>
              </w:rPr>
              <w:t>Kidney Disease: Improving Global</w:t>
            </w:r>
          </w:p>
          <w:p w14:paraId="23E0C4ED" w14:textId="77777777" w:rsidR="00FD008E" w:rsidRPr="00FD008E" w:rsidRDefault="00FD008E" w:rsidP="00FD008E">
            <w:pPr>
              <w:spacing w:after="0" w:line="240" w:lineRule="auto"/>
              <w:rPr>
                <w:rFonts w:ascii="Times New Roman" w:hAnsi="Times New Roman" w:cs="Times New Roman"/>
                <w:b/>
                <w:sz w:val="24"/>
                <w:szCs w:val="24"/>
              </w:rPr>
            </w:pPr>
            <w:r w:rsidRPr="00FD008E">
              <w:rPr>
                <w:rFonts w:ascii="Times New Roman" w:hAnsi="Times New Roman" w:cs="Times New Roman"/>
                <w:b/>
                <w:bCs/>
                <w:sz w:val="24"/>
                <w:szCs w:val="24"/>
              </w:rPr>
              <w:lastRenderedPageBreak/>
              <w:t xml:space="preserve">Outcomes (KDIGO) Acute Kidney Injury Work Group. KDIGO Clinical Practice Guideline for Acute Kidney Injury. Kidney inter., Suppl. 2012; 2: 1–138. Retrieved from: </w:t>
            </w:r>
            <w:hyperlink r:id="rId7" w:history="1">
              <w:r w:rsidRPr="00FD008E">
                <w:rPr>
                  <w:rStyle w:val="Hyperlink"/>
                  <w:rFonts w:ascii="Times New Roman" w:hAnsi="Times New Roman" w:cs="Times New Roman"/>
                  <w:b/>
                  <w:color w:val="auto"/>
                  <w:sz w:val="24"/>
                  <w:szCs w:val="24"/>
                  <w:u w:val="none"/>
                </w:rPr>
                <w:t>http://kdigo.org/home/guidelines/acute-kidney-injury/</w:t>
              </w:r>
            </w:hyperlink>
          </w:p>
          <w:p w14:paraId="64A803FE" w14:textId="576B1A7D" w:rsidR="00332DAF" w:rsidRPr="00AF63CD" w:rsidRDefault="00332DAF" w:rsidP="00332DAF">
            <w:pPr>
              <w:spacing w:after="0" w:line="240" w:lineRule="auto"/>
              <w:rPr>
                <w:rFonts w:ascii="Times New Roman" w:hAnsi="Times New Roman" w:cs="Times New Roman"/>
                <w:b/>
                <w:sz w:val="24"/>
                <w:szCs w:val="24"/>
              </w:rPr>
            </w:pPr>
          </w:p>
        </w:tc>
      </w:tr>
      <w:tr w:rsidR="00AF63CD" w:rsidRPr="00AF63CD" w14:paraId="1D1E35AD" w14:textId="77777777" w:rsidTr="00531E5E">
        <w:tc>
          <w:tcPr>
            <w:tcW w:w="2275" w:type="dxa"/>
            <w:tcBorders>
              <w:top w:val="single" w:sz="4" w:space="0" w:color="auto"/>
              <w:left w:val="single" w:sz="4" w:space="0" w:color="auto"/>
              <w:bottom w:val="single" w:sz="4" w:space="0" w:color="auto"/>
              <w:right w:val="single" w:sz="4" w:space="0" w:color="auto"/>
            </w:tcBorders>
          </w:tcPr>
          <w:p w14:paraId="5BA6D91C" w14:textId="77777777" w:rsidR="00AF63CD" w:rsidRPr="00AF63CD" w:rsidRDefault="00AF63CD" w:rsidP="00AF63CD">
            <w:pPr>
              <w:spacing w:after="0" w:line="240" w:lineRule="auto"/>
              <w:rPr>
                <w:rFonts w:ascii="Times New Roman" w:hAnsi="Times New Roman" w:cs="Times New Roman"/>
                <w:b/>
                <w:sz w:val="24"/>
                <w:szCs w:val="24"/>
              </w:rPr>
            </w:pPr>
            <w:r w:rsidRPr="00AF63CD">
              <w:rPr>
                <w:rFonts w:ascii="Times New Roman" w:hAnsi="Times New Roman" w:cs="Times New Roman"/>
                <w:b/>
                <w:sz w:val="24"/>
                <w:szCs w:val="24"/>
              </w:rPr>
              <w:lastRenderedPageBreak/>
              <w:t>Evidence Based Guideline/Practice Guideline Recommendation</w:t>
            </w:r>
          </w:p>
        </w:tc>
        <w:tc>
          <w:tcPr>
            <w:tcW w:w="7085" w:type="dxa"/>
            <w:tcBorders>
              <w:top w:val="single" w:sz="4" w:space="0" w:color="auto"/>
              <w:left w:val="single" w:sz="4" w:space="0" w:color="auto"/>
              <w:bottom w:val="single" w:sz="4" w:space="0" w:color="auto"/>
              <w:right w:val="single" w:sz="4" w:space="0" w:color="auto"/>
            </w:tcBorders>
          </w:tcPr>
          <w:p w14:paraId="2AE3EBBA" w14:textId="45C55A37" w:rsidR="00AF63CD" w:rsidRPr="00AF63CD" w:rsidRDefault="00AF63CD" w:rsidP="005A72BA">
            <w:pPr>
              <w:pStyle w:val="NoSpacing"/>
            </w:pPr>
            <w:r w:rsidRPr="00AF63CD">
              <w:t>As many as two-thirds of all cases of AKI begin prior to hospitalization (community-acquired AKI).</w:t>
            </w:r>
          </w:p>
          <w:p w14:paraId="34889041" w14:textId="77777777" w:rsidR="005A72BA" w:rsidRDefault="005A72BA" w:rsidP="005A72BA">
            <w:pPr>
              <w:pStyle w:val="NoSpacing"/>
            </w:pPr>
          </w:p>
          <w:p w14:paraId="04D70F46" w14:textId="1FAC1947" w:rsidR="00AF63CD" w:rsidRPr="00AF63CD" w:rsidRDefault="00AF63CD" w:rsidP="005A72BA">
            <w:pPr>
              <w:pStyle w:val="NoSpacing"/>
            </w:pPr>
            <w:r w:rsidRPr="00AF63CD">
              <w:t>Many patients do not have a prior measurement of kidney function available for comparison.</w:t>
            </w:r>
          </w:p>
          <w:p w14:paraId="7D5B215F" w14:textId="77777777" w:rsidR="005A72BA" w:rsidRDefault="005A72BA" w:rsidP="005A72BA">
            <w:pPr>
              <w:pStyle w:val="NoSpacing"/>
            </w:pPr>
          </w:p>
          <w:p w14:paraId="49719598" w14:textId="057BA8F7" w:rsidR="00AF63CD" w:rsidRPr="00AF63CD" w:rsidRDefault="00AF63CD" w:rsidP="005A72BA">
            <w:pPr>
              <w:pStyle w:val="NoSpacing"/>
            </w:pPr>
            <w:r w:rsidRPr="00AF63CD">
              <w:t>By using all available clinical data (laboratory, imaging, history, and physical exam) it should be possible to arrive at both an accurate diagnosis as well as an accurate estimate of baseline SCr (serum creatinine).</w:t>
            </w:r>
          </w:p>
          <w:p w14:paraId="4F2ADD64" w14:textId="77777777" w:rsidR="005A72BA" w:rsidRDefault="005A72BA" w:rsidP="005A72BA">
            <w:pPr>
              <w:pStyle w:val="NoSpacing"/>
            </w:pPr>
          </w:p>
          <w:p w14:paraId="719F84E9" w14:textId="27F475AE" w:rsidR="00AF63CD" w:rsidRPr="005A72BA" w:rsidRDefault="00AF63CD" w:rsidP="005A72BA">
            <w:pPr>
              <w:pStyle w:val="NoSpacing"/>
            </w:pPr>
            <w:r w:rsidRPr="00AF63CD">
              <w:t xml:space="preserve">Excluding some cases of hemodilution secondary to massive fluid resuscitation, the lowest SCr obtained during a hospitalization is usually equal to or greater than the baseline. </w:t>
            </w:r>
            <w:r w:rsidRPr="005A72BA">
              <w:t>This SCr should be used to diagnose (and stage) AKI.</w:t>
            </w:r>
          </w:p>
          <w:p w14:paraId="5F9B6978" w14:textId="77777777" w:rsidR="005A72BA" w:rsidRDefault="005A72BA" w:rsidP="005A72BA">
            <w:pPr>
              <w:pStyle w:val="NoSpacing"/>
            </w:pPr>
          </w:p>
          <w:p w14:paraId="0FBAD868" w14:textId="5B93AC61" w:rsidR="00AF63CD" w:rsidRPr="00AF63CD" w:rsidRDefault="00AF63CD" w:rsidP="005A72BA">
            <w:pPr>
              <w:pStyle w:val="NoSpacing"/>
            </w:pPr>
            <w:r w:rsidRPr="00AF63CD">
              <w:t>It is reasonable in patients without CKD to assume that SCr will be stable over several months or even years, so that a SCr obtained 6 months or even 1 year previously would reasonably reflect the patient’s premorbid baseline.</w:t>
            </w:r>
          </w:p>
          <w:p w14:paraId="469FC88F" w14:textId="77777777" w:rsidR="005A72BA" w:rsidRDefault="005A72BA" w:rsidP="005A72BA">
            <w:pPr>
              <w:pStyle w:val="NoSpacing"/>
            </w:pPr>
          </w:p>
          <w:p w14:paraId="0E0CC7B4" w14:textId="682A0BAE" w:rsidR="00AF63CD" w:rsidRDefault="00AF63CD" w:rsidP="005A72BA">
            <w:pPr>
              <w:pStyle w:val="NoSpacing"/>
            </w:pPr>
            <w:r w:rsidRPr="00AF63CD">
              <w:t>Problems (regarding baseline creatinine value and acuity of kidney condition) will require an integrated approach as well as clinical judgement.</w:t>
            </w:r>
          </w:p>
          <w:p w14:paraId="4C7EC6F9" w14:textId="77777777" w:rsidR="005A72BA" w:rsidRPr="004D141A" w:rsidRDefault="005A72BA" w:rsidP="005A72BA">
            <w:pPr>
              <w:pStyle w:val="NoSpacing"/>
            </w:pPr>
          </w:p>
          <w:p w14:paraId="6CE3235F" w14:textId="0586474E" w:rsidR="004D141A" w:rsidRDefault="004D141A" w:rsidP="005A72BA">
            <w:pPr>
              <w:pStyle w:val="NoSpacing"/>
              <w:rPr>
                <w:szCs w:val="24"/>
              </w:rPr>
            </w:pPr>
            <w:r w:rsidRPr="004D141A">
              <w:rPr>
                <w:szCs w:val="24"/>
              </w:rPr>
              <w:t>While the definitions and classification system discussed in Chapter 2.1 provide a framework for the clinical diagnosis of AKI, they should not be interpreted to replace or to exclude clinical judgment…. not all cases of AKI will fit within the proposed definition.</w:t>
            </w:r>
          </w:p>
          <w:p w14:paraId="0157FA8C" w14:textId="77777777" w:rsidR="004D141A" w:rsidRPr="004D141A" w:rsidRDefault="004D141A" w:rsidP="005A72BA">
            <w:pPr>
              <w:pStyle w:val="NoSpacing"/>
            </w:pPr>
          </w:p>
          <w:p w14:paraId="1B560787" w14:textId="6681FB07" w:rsidR="00AF63CD" w:rsidRPr="00AF63CD" w:rsidRDefault="00AF63CD" w:rsidP="005A72BA">
            <w:pPr>
              <w:pStyle w:val="NoSpacing"/>
              <w:jc w:val="center"/>
            </w:pPr>
            <w:r w:rsidRPr="00AF63CD">
              <w:t>***</w:t>
            </w:r>
          </w:p>
          <w:p w14:paraId="17B3803A" w14:textId="77777777" w:rsidR="005A72BA" w:rsidRDefault="00AF63CD" w:rsidP="005A72BA">
            <w:pPr>
              <w:pStyle w:val="NoSpacing"/>
              <w:rPr>
                <w:u w:val="single"/>
              </w:rPr>
            </w:pPr>
            <w:r w:rsidRPr="00AF63CD">
              <w:rPr>
                <w:u w:val="single"/>
              </w:rPr>
              <w:t>KDIGO (Kidney Disease Improving Global Outcomes) Criteria for AKI</w:t>
            </w:r>
          </w:p>
          <w:p w14:paraId="6D42C1CC" w14:textId="77777777" w:rsidR="005A72BA" w:rsidRPr="005A72BA" w:rsidRDefault="00AF63CD" w:rsidP="005A72BA">
            <w:pPr>
              <w:pStyle w:val="NoSpacing"/>
              <w:numPr>
                <w:ilvl w:val="0"/>
                <w:numId w:val="10"/>
              </w:numPr>
              <w:ind w:left="720"/>
              <w:rPr>
                <w:u w:val="single"/>
              </w:rPr>
            </w:pPr>
            <w:r w:rsidRPr="005A72BA">
              <w:t xml:space="preserve">Increase in serum creatinine by </w:t>
            </w:r>
            <w:r w:rsidRPr="005A72BA">
              <w:rPr>
                <w:i/>
                <w:u w:val="single"/>
              </w:rPr>
              <w:t>&gt;</w:t>
            </w:r>
            <w:r w:rsidRPr="005A72BA">
              <w:t xml:space="preserve"> 0.3 mg/dl within 48 hours or</w:t>
            </w:r>
          </w:p>
          <w:p w14:paraId="697AF6B9" w14:textId="77777777" w:rsidR="005A72BA" w:rsidRDefault="00AF63CD" w:rsidP="005A72BA">
            <w:pPr>
              <w:pStyle w:val="NoSpacing"/>
              <w:numPr>
                <w:ilvl w:val="0"/>
                <w:numId w:val="10"/>
              </w:numPr>
              <w:ind w:left="720"/>
            </w:pPr>
            <w:r w:rsidRPr="00AF63CD">
              <w:t xml:space="preserve">Increase in serum creatinine to </w:t>
            </w:r>
            <w:r w:rsidRPr="005A72BA">
              <w:rPr>
                <w:u w:val="single"/>
              </w:rPr>
              <w:t>&gt;</w:t>
            </w:r>
            <w:r w:rsidRPr="00AF63CD">
              <w:t xml:space="preserve"> 1.5 times baseline, known or presumed to have occurred within the prior 7 days or</w:t>
            </w:r>
          </w:p>
          <w:p w14:paraId="2C4DD110" w14:textId="481F07CC" w:rsidR="00AF63CD" w:rsidRPr="00AF63CD" w:rsidRDefault="00AF63CD" w:rsidP="005A72BA">
            <w:pPr>
              <w:pStyle w:val="NoSpacing"/>
              <w:numPr>
                <w:ilvl w:val="0"/>
                <w:numId w:val="10"/>
              </w:numPr>
              <w:ind w:left="720"/>
            </w:pPr>
            <w:r w:rsidRPr="00AF63CD">
              <w:t>Urine volume &lt;0.5ml/kg/h for 6 hours</w:t>
            </w:r>
          </w:p>
          <w:p w14:paraId="405A14F9" w14:textId="77777777" w:rsidR="00AF63CD" w:rsidRPr="00AF63CD" w:rsidRDefault="00AF63CD" w:rsidP="005A72BA">
            <w:pPr>
              <w:pStyle w:val="NoSpacing"/>
            </w:pPr>
          </w:p>
          <w:p w14:paraId="5AE37D35" w14:textId="516FCF93" w:rsidR="00AF63CD" w:rsidRPr="00AF63CD" w:rsidRDefault="00AF63CD" w:rsidP="005A72BA">
            <w:pPr>
              <w:pStyle w:val="NoSpacing"/>
              <w:rPr>
                <w:u w:val="single"/>
              </w:rPr>
            </w:pPr>
            <w:r w:rsidRPr="00AF63CD">
              <w:rPr>
                <w:u w:val="single"/>
              </w:rPr>
              <w:t>KDIGO AKI Staging Criteria</w:t>
            </w:r>
          </w:p>
          <w:p w14:paraId="6447318B" w14:textId="77777777" w:rsidR="00AF63CD" w:rsidRPr="00AF63CD" w:rsidRDefault="00AF63CD" w:rsidP="005A72BA">
            <w:pPr>
              <w:pStyle w:val="NoSpacing"/>
              <w:numPr>
                <w:ilvl w:val="0"/>
                <w:numId w:val="33"/>
              </w:numPr>
            </w:pPr>
            <w:r w:rsidRPr="00AF63CD">
              <w:lastRenderedPageBreak/>
              <w:t xml:space="preserve">Stage 1:  Serum creatinine 1.5 – 1.9 times baseline or </w:t>
            </w:r>
            <w:r w:rsidRPr="00AF63CD">
              <w:rPr>
                <w:u w:val="single"/>
              </w:rPr>
              <w:t>&gt;</w:t>
            </w:r>
            <w:r w:rsidRPr="00AF63CD">
              <w:t xml:space="preserve"> 0.3 mg/dl (&gt; 26.5 µmol/l) increase or urine output &lt;0.5 ml/kg/h for 6 – 12 hours</w:t>
            </w:r>
          </w:p>
          <w:p w14:paraId="1A4492CA" w14:textId="77777777" w:rsidR="00AF63CD" w:rsidRPr="00AF63CD" w:rsidRDefault="00AF63CD" w:rsidP="005A72BA">
            <w:pPr>
              <w:pStyle w:val="NoSpacing"/>
              <w:numPr>
                <w:ilvl w:val="0"/>
                <w:numId w:val="33"/>
              </w:numPr>
            </w:pPr>
            <w:r w:rsidRPr="00AF63CD">
              <w:t xml:space="preserve">Stage 2: Serum creatinine 2.0 – 2.9 times baseline or urine output &lt; 0.5 ml/kg/h for </w:t>
            </w:r>
            <w:r w:rsidRPr="00AF63CD">
              <w:rPr>
                <w:u w:val="single"/>
              </w:rPr>
              <w:t>&gt;</w:t>
            </w:r>
            <w:r w:rsidRPr="00AF63CD">
              <w:t xml:space="preserve"> 12 hours</w:t>
            </w:r>
          </w:p>
          <w:p w14:paraId="53C01B6F" w14:textId="77777777" w:rsidR="00AF63CD" w:rsidRDefault="00AF63CD" w:rsidP="005A72BA">
            <w:pPr>
              <w:pStyle w:val="NoSpacing"/>
              <w:numPr>
                <w:ilvl w:val="0"/>
                <w:numId w:val="33"/>
              </w:numPr>
            </w:pPr>
            <w:r w:rsidRPr="00AF63CD">
              <w:t xml:space="preserve">Stage 3:  Serum creatinine 3.0 times baseline or &gt; 4.0 mg/dl or initiation of renal replacement therapy or in patients &lt; 18 years, decrease in eGFR to &lt; 35 ml/min per 1.73m² or urine output &lt; 0.3 ml/kg/h for </w:t>
            </w:r>
            <w:r w:rsidRPr="00AF63CD">
              <w:rPr>
                <w:u w:val="single"/>
              </w:rPr>
              <w:t>&gt;</w:t>
            </w:r>
            <w:r w:rsidRPr="00AF63CD">
              <w:t xml:space="preserve"> 24 hours or anuria for</w:t>
            </w:r>
            <w:r w:rsidRPr="00AF63CD">
              <w:rPr>
                <w:u w:val="single"/>
              </w:rPr>
              <w:t xml:space="preserve"> &gt;</w:t>
            </w:r>
            <w:r w:rsidRPr="00AF63CD">
              <w:t xml:space="preserve"> 12 hrs</w:t>
            </w:r>
          </w:p>
          <w:p w14:paraId="7FCE018B" w14:textId="0B6A381B" w:rsidR="00AF63CD" w:rsidRPr="00AF63CD" w:rsidRDefault="00AF63CD" w:rsidP="004D141A">
            <w:pPr>
              <w:pStyle w:val="NoSpacing"/>
            </w:pPr>
          </w:p>
        </w:tc>
      </w:tr>
      <w:bookmarkEnd w:id="2"/>
      <w:tr w:rsidR="00AF63CD" w:rsidRPr="00AF63CD" w14:paraId="34A50D2B" w14:textId="77777777" w:rsidTr="00531E5E">
        <w:tc>
          <w:tcPr>
            <w:tcW w:w="2275" w:type="dxa"/>
            <w:shd w:val="clear" w:color="auto" w:fill="D9D9D9"/>
          </w:tcPr>
          <w:p w14:paraId="2AFDE1ED" w14:textId="77777777" w:rsidR="00AF63CD" w:rsidRPr="00AF63CD" w:rsidRDefault="00AF63CD" w:rsidP="00AF63CD">
            <w:pPr>
              <w:spacing w:after="0" w:line="240" w:lineRule="auto"/>
              <w:rPr>
                <w:rFonts w:ascii="Times New Roman" w:hAnsi="Times New Roman" w:cs="Times New Roman"/>
                <w:sz w:val="12"/>
                <w:szCs w:val="24"/>
              </w:rPr>
            </w:pPr>
          </w:p>
        </w:tc>
        <w:tc>
          <w:tcPr>
            <w:tcW w:w="7085" w:type="dxa"/>
            <w:tcBorders>
              <w:top w:val="single" w:sz="4" w:space="0" w:color="auto"/>
            </w:tcBorders>
            <w:shd w:val="clear" w:color="auto" w:fill="D9D9D9"/>
          </w:tcPr>
          <w:p w14:paraId="68D0FDCA" w14:textId="77777777" w:rsidR="00AF63CD" w:rsidRPr="00AF63CD" w:rsidRDefault="00AF63CD" w:rsidP="00AF63CD">
            <w:pPr>
              <w:spacing w:after="0" w:line="240" w:lineRule="auto"/>
              <w:rPr>
                <w:rFonts w:ascii="Times New Roman" w:hAnsi="Times New Roman" w:cs="Times New Roman"/>
                <w:sz w:val="12"/>
                <w:szCs w:val="24"/>
              </w:rPr>
            </w:pPr>
          </w:p>
        </w:tc>
      </w:tr>
      <w:tr w:rsidR="00AF63CD" w:rsidRPr="00AF63CD" w14:paraId="187A9A19" w14:textId="77777777" w:rsidTr="00531E5E">
        <w:tc>
          <w:tcPr>
            <w:tcW w:w="2275" w:type="dxa"/>
            <w:tcBorders>
              <w:top w:val="single" w:sz="4" w:space="0" w:color="auto"/>
              <w:left w:val="single" w:sz="4" w:space="0" w:color="auto"/>
              <w:bottom w:val="single" w:sz="4" w:space="0" w:color="auto"/>
              <w:right w:val="single" w:sz="4" w:space="0" w:color="auto"/>
            </w:tcBorders>
          </w:tcPr>
          <w:p w14:paraId="3AF6FBD8" w14:textId="77777777" w:rsidR="00AF63CD" w:rsidRPr="00AF63CD" w:rsidRDefault="00AF63CD" w:rsidP="00AF63CD">
            <w:pPr>
              <w:spacing w:after="0" w:line="240" w:lineRule="auto"/>
              <w:rPr>
                <w:rFonts w:ascii="Times New Roman" w:hAnsi="Times New Roman" w:cs="Times New Roman"/>
                <w:b/>
                <w:sz w:val="24"/>
                <w:szCs w:val="24"/>
              </w:rPr>
            </w:pPr>
            <w:r w:rsidRPr="00AF63CD">
              <w:rPr>
                <w:rFonts w:ascii="Times New Roman" w:hAnsi="Times New Roman" w:cs="Times New Roman"/>
                <w:b/>
                <w:sz w:val="24"/>
                <w:szCs w:val="24"/>
              </w:rPr>
              <w:t xml:space="preserve">Source/Reference </w:t>
            </w:r>
          </w:p>
        </w:tc>
        <w:tc>
          <w:tcPr>
            <w:tcW w:w="7085" w:type="dxa"/>
            <w:tcBorders>
              <w:top w:val="single" w:sz="4" w:space="0" w:color="auto"/>
              <w:left w:val="single" w:sz="4" w:space="0" w:color="auto"/>
              <w:bottom w:val="single" w:sz="4" w:space="0" w:color="auto"/>
              <w:right w:val="single" w:sz="4" w:space="0" w:color="auto"/>
            </w:tcBorders>
          </w:tcPr>
          <w:p w14:paraId="0FECD9ED" w14:textId="5FBD07D0" w:rsidR="00AF63CD" w:rsidRDefault="00226F45" w:rsidP="00226F45">
            <w:pPr>
              <w:pStyle w:val="NoSpacing"/>
              <w:rPr>
                <w:b/>
                <w:bCs/>
              </w:rPr>
            </w:pPr>
            <w:r w:rsidRPr="00226F45">
              <w:rPr>
                <w:b/>
                <w:bCs/>
              </w:rPr>
              <w:t xml:space="preserve">Hanif, M. O., Bali, A., &amp; Ramphul, K. (2023). Acute Renal Tubular Necrosis. In StatPearls. StatPearls Publishing. https://pubmed.ncbi.nlm.nih.gov/29939592/ </w:t>
            </w:r>
            <w:hyperlink r:id="rId8" w:history="1">
              <w:r w:rsidR="000A7B62" w:rsidRPr="000A7B62">
                <w:rPr>
                  <w:rStyle w:val="Hyperlink"/>
                  <w:b/>
                  <w:bCs/>
                  <w:color w:val="auto"/>
                  <w:u w:val="none"/>
                </w:rPr>
                <w:t>https://www.ncbi.nlm.nih.gov/books/NBK507815/</w:t>
              </w:r>
            </w:hyperlink>
          </w:p>
          <w:p w14:paraId="3028636A" w14:textId="3E4328D4" w:rsidR="000A7B62" w:rsidRPr="00226F45" w:rsidRDefault="000A7B62" w:rsidP="00226F45">
            <w:pPr>
              <w:pStyle w:val="NoSpacing"/>
              <w:rPr>
                <w:b/>
                <w:bCs/>
              </w:rPr>
            </w:pPr>
          </w:p>
        </w:tc>
      </w:tr>
      <w:tr w:rsidR="00AF63CD" w:rsidRPr="00AF63CD" w14:paraId="79D35630" w14:textId="77777777" w:rsidTr="00531E5E">
        <w:tc>
          <w:tcPr>
            <w:tcW w:w="2275" w:type="dxa"/>
            <w:tcBorders>
              <w:top w:val="single" w:sz="4" w:space="0" w:color="auto"/>
              <w:left w:val="single" w:sz="4" w:space="0" w:color="auto"/>
              <w:bottom w:val="single" w:sz="4" w:space="0" w:color="auto"/>
              <w:right w:val="single" w:sz="4" w:space="0" w:color="auto"/>
            </w:tcBorders>
          </w:tcPr>
          <w:p w14:paraId="32767A96" w14:textId="77777777" w:rsidR="00AF63CD" w:rsidRPr="00AF63CD" w:rsidRDefault="00AF63CD" w:rsidP="00AF63CD">
            <w:pPr>
              <w:spacing w:after="0" w:line="240" w:lineRule="auto"/>
              <w:rPr>
                <w:rFonts w:ascii="Times New Roman" w:hAnsi="Times New Roman" w:cs="Times New Roman"/>
                <w:b/>
                <w:sz w:val="24"/>
                <w:szCs w:val="24"/>
              </w:rPr>
            </w:pPr>
            <w:r w:rsidRPr="00AF63CD">
              <w:rPr>
                <w:rFonts w:ascii="Times New Roman" w:hAnsi="Times New Roman" w:cs="Times New Roman"/>
                <w:b/>
                <w:sz w:val="24"/>
                <w:szCs w:val="24"/>
              </w:rPr>
              <w:t>Evidence Based Guideline/Practice Guideline Recommendation</w:t>
            </w:r>
          </w:p>
        </w:tc>
        <w:tc>
          <w:tcPr>
            <w:tcW w:w="7085" w:type="dxa"/>
            <w:tcBorders>
              <w:top w:val="single" w:sz="4" w:space="0" w:color="auto"/>
              <w:left w:val="single" w:sz="4" w:space="0" w:color="auto"/>
              <w:bottom w:val="single" w:sz="4" w:space="0" w:color="auto"/>
              <w:right w:val="single" w:sz="4" w:space="0" w:color="auto"/>
            </w:tcBorders>
          </w:tcPr>
          <w:p w14:paraId="68B62ACF" w14:textId="77777777" w:rsidR="00226F45" w:rsidRDefault="00226F45" w:rsidP="00226F45">
            <w:pPr>
              <w:pStyle w:val="NoSpacing"/>
            </w:pPr>
            <w:r w:rsidRPr="000F54A3">
              <w:t>The most common cause of acute kidney injury (AKI) is acute tubular necrosis (ATN) when the pattern of injury lies within the kidney (intrinsic disease).</w:t>
            </w:r>
          </w:p>
          <w:p w14:paraId="52CE6EF3" w14:textId="77777777" w:rsidR="00226F45" w:rsidRDefault="00226F45" w:rsidP="00226F45">
            <w:pPr>
              <w:pStyle w:val="NoSpacing"/>
            </w:pPr>
          </w:p>
          <w:p w14:paraId="0C2074C2" w14:textId="2C49BCDE" w:rsidR="00226F45" w:rsidRDefault="00226F45" w:rsidP="00226F45">
            <w:pPr>
              <w:pStyle w:val="NoSpacing"/>
            </w:pPr>
            <w:r w:rsidRPr="000F54A3">
              <w:t>Acute tubular necrosis is most common in hospitalized patients and can occur following ischemia, exposure to toxins, or sepsis</w:t>
            </w:r>
            <w:r w:rsidR="004D5E68">
              <w:t xml:space="preserve">… </w:t>
            </w:r>
            <w:r w:rsidRPr="000F54A3">
              <w:t xml:space="preserve">and is associated with high morbidity and mortality. </w:t>
            </w:r>
          </w:p>
          <w:p w14:paraId="7DEDB11E" w14:textId="77777777" w:rsidR="00704C83" w:rsidRDefault="00704C83" w:rsidP="00226F45">
            <w:pPr>
              <w:pStyle w:val="NoSpacing"/>
            </w:pPr>
          </w:p>
          <w:p w14:paraId="703759C8" w14:textId="7172E863" w:rsidR="00704C83" w:rsidRDefault="00704C83" w:rsidP="00226F45">
            <w:pPr>
              <w:pStyle w:val="NoSpacing"/>
            </w:pPr>
            <w:r w:rsidRPr="00704C83">
              <w:t>Prerenal azotemia and ischemic acute tubular necrosis have the same spectrum of causes. Any factor that leads to prerenal azotemia can lead to ischemic acute tubular necrosis. Some common causes include hypovolemic states such as diarrhea, vomiting, bleeding, dehydration, burns, renal losses via diuretics or osmotic diuresis, and third fluid sequestration.</w:t>
            </w:r>
          </w:p>
          <w:p w14:paraId="291FD317" w14:textId="77777777" w:rsidR="00226F45" w:rsidRDefault="00226F45" w:rsidP="00226F45">
            <w:pPr>
              <w:pStyle w:val="NoSpacing"/>
            </w:pPr>
          </w:p>
          <w:p w14:paraId="5D725699" w14:textId="43D8559D" w:rsidR="00704C83" w:rsidRDefault="00704C83" w:rsidP="00226F45">
            <w:pPr>
              <w:pStyle w:val="NoSpacing"/>
            </w:pPr>
            <w:r w:rsidRPr="00704C83">
              <w:t>Sepsis also plays a role in causing acute tubular necrosis because of systemic hypotension and renal hypoperfusion. </w:t>
            </w:r>
          </w:p>
          <w:p w14:paraId="123C0657" w14:textId="77777777" w:rsidR="00704C83" w:rsidRDefault="00704C83" w:rsidP="00226F45">
            <w:pPr>
              <w:pStyle w:val="NoSpacing"/>
            </w:pPr>
          </w:p>
          <w:p w14:paraId="542BF112" w14:textId="6B369C87" w:rsidR="00226F45" w:rsidRDefault="00226F45" w:rsidP="00226F45">
            <w:pPr>
              <w:pStyle w:val="NoSpacing"/>
            </w:pPr>
            <w:r w:rsidRPr="000F54A3">
              <w:t>Fractional excretion of sodium (FENa)</w:t>
            </w:r>
            <w:r>
              <w:t xml:space="preserve"> </w:t>
            </w:r>
            <w:r w:rsidRPr="000F54A3">
              <w:t>is a good test to differentiate between acute tubular necrosis and prerenal disease, with a value less than 1% favoring prerenal disease and more than 2% acute tubular necrosis. However, these values are not always accurate as in chronic prerenal states such as congestive heart failure and cirrhosis in which there is an overlap between both (ATN and prerenal AKI) having a value of less than 1%.</w:t>
            </w:r>
          </w:p>
          <w:p w14:paraId="10A41B7F" w14:textId="77777777" w:rsidR="00226F45" w:rsidRDefault="00226F45" w:rsidP="00226F45">
            <w:pPr>
              <w:pStyle w:val="NoSpacing"/>
            </w:pPr>
          </w:p>
          <w:p w14:paraId="76F7069C" w14:textId="2CBE7C9F" w:rsidR="00704C83" w:rsidRPr="00704C83" w:rsidRDefault="00226F45" w:rsidP="00704C83">
            <w:pPr>
              <w:pStyle w:val="NoSpacing"/>
            </w:pPr>
            <w:r w:rsidRPr="000F54A3">
              <w:t>Urine sodium concentration determines that the kidney is sodium avid in hypovolemic states (prerenal) where kidneys try to conserve sodium or lose sodium due to tubular injury with values more than 40 to 50 mEq/L indicating acute tubular necrosis and less than 20 mEq/L suggestive of prerenal disease.</w:t>
            </w:r>
          </w:p>
          <w:p w14:paraId="5C1A58F3" w14:textId="02BF8512" w:rsidR="00704C83" w:rsidRPr="00AF63CD" w:rsidRDefault="00704C83" w:rsidP="00226F45">
            <w:pPr>
              <w:pStyle w:val="NoSpacing"/>
            </w:pPr>
          </w:p>
        </w:tc>
      </w:tr>
      <w:tr w:rsidR="00AF63CD" w:rsidRPr="00AF63CD" w14:paraId="2EC19E7E" w14:textId="77777777" w:rsidTr="00531E5E">
        <w:tc>
          <w:tcPr>
            <w:tcW w:w="2275" w:type="dxa"/>
            <w:shd w:val="clear" w:color="auto" w:fill="D9D9D9"/>
          </w:tcPr>
          <w:p w14:paraId="3B9E6F91" w14:textId="77777777" w:rsidR="00AF63CD" w:rsidRPr="00AF63CD" w:rsidRDefault="00AF63CD" w:rsidP="00AF63CD">
            <w:pPr>
              <w:spacing w:after="0" w:line="240" w:lineRule="auto"/>
              <w:rPr>
                <w:rFonts w:ascii="Times New Roman" w:hAnsi="Times New Roman" w:cs="Times New Roman"/>
                <w:sz w:val="12"/>
                <w:szCs w:val="24"/>
              </w:rPr>
            </w:pPr>
          </w:p>
        </w:tc>
        <w:tc>
          <w:tcPr>
            <w:tcW w:w="7085" w:type="dxa"/>
            <w:shd w:val="clear" w:color="auto" w:fill="D9D9D9"/>
          </w:tcPr>
          <w:p w14:paraId="482AD887" w14:textId="77777777" w:rsidR="00AF63CD" w:rsidRPr="00AF63CD" w:rsidRDefault="00AF63CD" w:rsidP="00AF63CD">
            <w:pPr>
              <w:spacing w:after="0" w:line="240" w:lineRule="auto"/>
              <w:rPr>
                <w:rFonts w:ascii="Times New Roman" w:hAnsi="Times New Roman" w:cs="Times New Roman"/>
                <w:sz w:val="12"/>
                <w:szCs w:val="24"/>
              </w:rPr>
            </w:pPr>
          </w:p>
        </w:tc>
      </w:tr>
      <w:tr w:rsidR="0023657E" w:rsidRPr="00AF63CD" w14:paraId="33592BAA" w14:textId="77777777" w:rsidTr="00531E5E">
        <w:tc>
          <w:tcPr>
            <w:tcW w:w="2275" w:type="dxa"/>
            <w:tcBorders>
              <w:top w:val="single" w:sz="4" w:space="0" w:color="auto"/>
              <w:left w:val="single" w:sz="4" w:space="0" w:color="auto"/>
              <w:bottom w:val="single" w:sz="4" w:space="0" w:color="auto"/>
              <w:right w:val="single" w:sz="4" w:space="0" w:color="auto"/>
            </w:tcBorders>
          </w:tcPr>
          <w:p w14:paraId="54EA0D62" w14:textId="77777777" w:rsidR="0023657E" w:rsidRPr="00AF63CD" w:rsidRDefault="0023657E" w:rsidP="0023657E">
            <w:pPr>
              <w:spacing w:after="0" w:line="240" w:lineRule="auto"/>
              <w:rPr>
                <w:rFonts w:ascii="Times New Roman" w:hAnsi="Times New Roman" w:cs="Times New Roman"/>
                <w:b/>
                <w:sz w:val="24"/>
                <w:szCs w:val="24"/>
              </w:rPr>
            </w:pPr>
            <w:bookmarkStart w:id="3" w:name="_Hlk153891738"/>
            <w:r w:rsidRPr="00AF63CD">
              <w:rPr>
                <w:rFonts w:ascii="Times New Roman" w:hAnsi="Times New Roman" w:cs="Times New Roman"/>
                <w:b/>
                <w:sz w:val="24"/>
                <w:szCs w:val="24"/>
              </w:rPr>
              <w:t xml:space="preserve">Source/Reference </w:t>
            </w:r>
          </w:p>
        </w:tc>
        <w:tc>
          <w:tcPr>
            <w:tcW w:w="7085" w:type="dxa"/>
            <w:tcBorders>
              <w:top w:val="single" w:sz="4" w:space="0" w:color="auto"/>
              <w:left w:val="single" w:sz="4" w:space="0" w:color="auto"/>
              <w:bottom w:val="single" w:sz="4" w:space="0" w:color="auto"/>
              <w:right w:val="single" w:sz="4" w:space="0" w:color="auto"/>
            </w:tcBorders>
          </w:tcPr>
          <w:p w14:paraId="321038A0" w14:textId="699AB4B7" w:rsidR="0023657E" w:rsidRPr="00AF63CD" w:rsidRDefault="0023657E" w:rsidP="0023657E">
            <w:pPr>
              <w:autoSpaceDE w:val="0"/>
              <w:autoSpaceDN w:val="0"/>
              <w:adjustRightInd w:val="0"/>
              <w:spacing w:after="0" w:line="240" w:lineRule="auto"/>
              <w:rPr>
                <w:rFonts w:ascii="Times New Roman" w:hAnsi="Times New Roman" w:cs="Times New Roman"/>
                <w:color w:val="000000"/>
                <w:sz w:val="24"/>
                <w:szCs w:val="24"/>
              </w:rPr>
            </w:pPr>
            <w:r w:rsidRPr="00604CCB">
              <w:rPr>
                <w:rFonts w:ascii="Times New Roman" w:eastAsia="Calibri" w:hAnsi="Times New Roman" w:cs="Times New Roman"/>
                <w:b/>
                <w:sz w:val="24"/>
                <w:szCs w:val="24"/>
                <w:lang w:val="en"/>
              </w:rPr>
              <w:t>Luciano, R. L., &amp; Moeckel, G. W. (2019). Update on the Native Kidney Biopsy: Core Curriculum 2019. American journal of kidney diseases : the official journal of the National Kidney Foundation, 73(3), 404–415. https://doi.org/10.1053/j.ajkd.2018.10.011</w:t>
            </w:r>
            <w:r>
              <w:t xml:space="preserve"> </w:t>
            </w:r>
            <w:r w:rsidRPr="00604CCB">
              <w:rPr>
                <w:rFonts w:ascii="Times New Roman" w:eastAsia="Calibri" w:hAnsi="Times New Roman" w:cs="Times New Roman"/>
                <w:b/>
                <w:sz w:val="24"/>
                <w:szCs w:val="24"/>
                <w:lang w:val="en"/>
              </w:rPr>
              <w:t>https://www.ajkd.org/article/S0272-6386(18)31102-8/fulltext</w:t>
            </w:r>
          </w:p>
        </w:tc>
      </w:tr>
      <w:tr w:rsidR="00AF63CD" w:rsidRPr="00AF63CD" w14:paraId="48C26AF0" w14:textId="77777777" w:rsidTr="00531E5E">
        <w:tc>
          <w:tcPr>
            <w:tcW w:w="2275" w:type="dxa"/>
            <w:tcBorders>
              <w:top w:val="single" w:sz="4" w:space="0" w:color="auto"/>
              <w:left w:val="single" w:sz="4" w:space="0" w:color="auto"/>
              <w:bottom w:val="single" w:sz="4" w:space="0" w:color="auto"/>
              <w:right w:val="single" w:sz="4" w:space="0" w:color="auto"/>
            </w:tcBorders>
            <w:shd w:val="clear" w:color="auto" w:fill="auto"/>
          </w:tcPr>
          <w:p w14:paraId="7EECF4EB" w14:textId="77777777" w:rsidR="00AF63CD" w:rsidRPr="00AF63CD" w:rsidRDefault="00AF63CD" w:rsidP="00AF63CD">
            <w:pPr>
              <w:spacing w:after="0" w:line="240" w:lineRule="auto"/>
              <w:rPr>
                <w:rFonts w:ascii="Times New Roman" w:hAnsi="Times New Roman" w:cs="Times New Roman"/>
                <w:b/>
                <w:sz w:val="24"/>
                <w:szCs w:val="24"/>
                <w:highlight w:val="yellow"/>
              </w:rPr>
            </w:pPr>
            <w:r w:rsidRPr="00AF63CD">
              <w:rPr>
                <w:rFonts w:ascii="Times New Roman" w:hAnsi="Times New Roman" w:cs="Times New Roman"/>
                <w:b/>
                <w:sz w:val="24"/>
                <w:szCs w:val="24"/>
              </w:rPr>
              <w:t xml:space="preserve">Evidence Based Guideline/Practice Guideline Recommendation </w:t>
            </w:r>
          </w:p>
        </w:tc>
        <w:tc>
          <w:tcPr>
            <w:tcW w:w="7085" w:type="dxa"/>
            <w:tcBorders>
              <w:top w:val="single" w:sz="4" w:space="0" w:color="auto"/>
              <w:left w:val="single" w:sz="4" w:space="0" w:color="auto"/>
              <w:bottom w:val="single" w:sz="4" w:space="0" w:color="auto"/>
              <w:right w:val="single" w:sz="4" w:space="0" w:color="auto"/>
            </w:tcBorders>
          </w:tcPr>
          <w:p w14:paraId="637CC53E" w14:textId="40D3965B" w:rsidR="00AF63CD" w:rsidRDefault="00AF63CD" w:rsidP="00226F45">
            <w:pPr>
              <w:pStyle w:val="NoSpacing"/>
            </w:pPr>
            <w:r w:rsidRPr="00AF63CD">
              <w:t>A kidney biopsy should be recommended when kidney tissue is required to make a definitive diagnosis that might affect treatment or provide information about disease progression or prognosis.</w:t>
            </w:r>
          </w:p>
          <w:p w14:paraId="682EFA0F" w14:textId="77777777" w:rsidR="00226F45" w:rsidRPr="00AF63CD" w:rsidRDefault="00226F45" w:rsidP="00226F45">
            <w:pPr>
              <w:pStyle w:val="NoSpacing"/>
            </w:pPr>
          </w:p>
          <w:p w14:paraId="44A7CEB0" w14:textId="212220DC" w:rsidR="00AF63CD" w:rsidRPr="00AF63CD" w:rsidRDefault="00AF63CD" w:rsidP="00226F45">
            <w:pPr>
              <w:pStyle w:val="NoSpacing"/>
            </w:pPr>
            <w:r w:rsidRPr="00AF63CD">
              <w:t>A biopsy should be avoided when the potential risk to the patient exceeds any likely benefit from procuring kidney tissue.</w:t>
            </w:r>
          </w:p>
          <w:p w14:paraId="5C29440E" w14:textId="77777777" w:rsidR="00226F45" w:rsidRDefault="00226F45" w:rsidP="00226F45">
            <w:pPr>
              <w:pStyle w:val="NoSpacing"/>
            </w:pPr>
          </w:p>
          <w:p w14:paraId="74B116BE" w14:textId="257329DD" w:rsidR="00AF63CD" w:rsidRPr="00AF63CD" w:rsidRDefault="00AF63CD" w:rsidP="00226F45">
            <w:pPr>
              <w:pStyle w:val="NoSpacing"/>
              <w:rPr>
                <w:rFonts w:ascii="AdvJoannaMT" w:hAnsi="AdvJoannaMT" w:cs="AdvJoannaMT"/>
                <w:sz w:val="21"/>
                <w:szCs w:val="21"/>
              </w:rPr>
            </w:pPr>
            <w:r w:rsidRPr="00AF63CD">
              <w:t>Patients with a diagnosis of hemodynamically mediated AKI (acute tubular injury or necrosis) do not usually need a biopsy unless the cause of the AKI is unclear or there are other features that suggest a need for a biopsy.</w:t>
            </w:r>
          </w:p>
        </w:tc>
      </w:tr>
      <w:bookmarkEnd w:id="3"/>
      <w:tr w:rsidR="00AF63CD" w:rsidRPr="00AF63CD" w14:paraId="7D4FE85E" w14:textId="77777777" w:rsidTr="00531E5E">
        <w:tc>
          <w:tcPr>
            <w:tcW w:w="2275" w:type="dxa"/>
            <w:shd w:val="clear" w:color="auto" w:fill="D9D9D9"/>
          </w:tcPr>
          <w:p w14:paraId="658D5306" w14:textId="77777777" w:rsidR="00AF63CD" w:rsidRPr="00AF63CD" w:rsidRDefault="00AF63CD" w:rsidP="00AF63CD">
            <w:pPr>
              <w:spacing w:after="0" w:line="240" w:lineRule="auto"/>
              <w:rPr>
                <w:rFonts w:ascii="Times New Roman" w:hAnsi="Times New Roman" w:cs="Times New Roman"/>
                <w:sz w:val="12"/>
                <w:szCs w:val="24"/>
              </w:rPr>
            </w:pPr>
          </w:p>
        </w:tc>
        <w:tc>
          <w:tcPr>
            <w:tcW w:w="7085" w:type="dxa"/>
            <w:shd w:val="clear" w:color="auto" w:fill="D9D9D9"/>
          </w:tcPr>
          <w:p w14:paraId="79B70536" w14:textId="77777777" w:rsidR="00AF63CD" w:rsidRPr="00AF63CD" w:rsidRDefault="00AF63CD" w:rsidP="00AF63CD">
            <w:pPr>
              <w:spacing w:after="0" w:line="240" w:lineRule="auto"/>
              <w:rPr>
                <w:rFonts w:ascii="Times New Roman" w:hAnsi="Times New Roman" w:cs="Times New Roman"/>
                <w:sz w:val="12"/>
                <w:szCs w:val="24"/>
              </w:rPr>
            </w:pPr>
          </w:p>
        </w:tc>
      </w:tr>
    </w:tbl>
    <w:p w14:paraId="7D9252CF" w14:textId="77777777" w:rsidR="00552964" w:rsidRPr="00552964" w:rsidRDefault="00552964" w:rsidP="00552964">
      <w:pPr>
        <w:spacing w:after="0" w:line="240" w:lineRule="auto"/>
        <w:rPr>
          <w:rFonts w:ascii="Times New Roman" w:eastAsia="Calibri" w:hAnsi="Times New Roman" w:cs="Times New Roman"/>
          <w:b/>
          <w:sz w:val="24"/>
          <w:u w:val="single"/>
        </w:rPr>
      </w:pPr>
    </w:p>
    <w:p w14:paraId="12084240" w14:textId="77777777" w:rsidR="006A0EDD" w:rsidRPr="00531E5E" w:rsidRDefault="006A0EDD" w:rsidP="006A0EDD">
      <w:pPr>
        <w:spacing w:after="0" w:line="240" w:lineRule="auto"/>
        <w:jc w:val="center"/>
        <w:rPr>
          <w:rFonts w:ascii="Times New Roman" w:eastAsia="Calibri" w:hAnsi="Times New Roman" w:cs="Times New Roman"/>
          <w:b/>
          <w:sz w:val="24"/>
        </w:rPr>
      </w:pPr>
      <w:r w:rsidRPr="00531E5E">
        <w:rPr>
          <w:rFonts w:ascii="Times New Roman" w:eastAsia="Calibri" w:hAnsi="Times New Roman" w:cs="Times New Roman"/>
          <w:b/>
          <w:sz w:val="24"/>
        </w:rPr>
        <w:t>Selected Coding Clinics</w:t>
      </w:r>
    </w:p>
    <w:p w14:paraId="61E25F19" w14:textId="1E779287" w:rsidR="006A0EDD" w:rsidRPr="00552964" w:rsidRDefault="006A0EDD" w:rsidP="006A0EDD">
      <w:pPr>
        <w:spacing w:after="0" w:line="240" w:lineRule="auto"/>
        <w:jc w:val="center"/>
        <w:rPr>
          <w:rFonts w:ascii="Times New Roman" w:eastAsia="Calibri" w:hAnsi="Times New Roman" w:cs="Times New Roman"/>
          <w:i/>
          <w:color w:val="FF0000"/>
          <w:sz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110"/>
      </w:tblGrid>
      <w:tr w:rsidR="006A0EDD" w:rsidRPr="00552964" w14:paraId="6B862A9B" w14:textId="77777777" w:rsidTr="000A7B62">
        <w:trPr>
          <w:trHeight w:val="58"/>
        </w:trPr>
        <w:tc>
          <w:tcPr>
            <w:tcW w:w="2250" w:type="dxa"/>
            <w:shd w:val="clear" w:color="auto" w:fill="D9D9D9"/>
          </w:tcPr>
          <w:p w14:paraId="446737B8" w14:textId="77777777" w:rsidR="006A0EDD" w:rsidRPr="00552964" w:rsidRDefault="006A0EDD" w:rsidP="00545A5E">
            <w:pPr>
              <w:spacing w:after="0" w:line="240" w:lineRule="auto"/>
              <w:rPr>
                <w:rFonts w:ascii="Times New Roman" w:eastAsia="Calibri" w:hAnsi="Times New Roman" w:cs="Times New Roman"/>
                <w:b/>
                <w:sz w:val="12"/>
                <w:szCs w:val="12"/>
              </w:rPr>
            </w:pPr>
          </w:p>
        </w:tc>
        <w:tc>
          <w:tcPr>
            <w:tcW w:w="7110" w:type="dxa"/>
            <w:shd w:val="clear" w:color="auto" w:fill="D9D9D9"/>
          </w:tcPr>
          <w:p w14:paraId="46D16E6D" w14:textId="77777777" w:rsidR="006A0EDD" w:rsidRPr="00552964" w:rsidRDefault="006A0EDD" w:rsidP="00545A5E">
            <w:pPr>
              <w:tabs>
                <w:tab w:val="left" w:pos="7182"/>
              </w:tabs>
              <w:spacing w:after="0" w:afterAutospacing="1" w:line="240" w:lineRule="auto"/>
              <w:ind w:right="-810"/>
              <w:rPr>
                <w:rFonts w:ascii="Times New Roman" w:eastAsia="Calibri" w:hAnsi="Times New Roman" w:cs="Times New Roman"/>
                <w:sz w:val="12"/>
                <w:szCs w:val="12"/>
              </w:rPr>
            </w:pPr>
          </w:p>
        </w:tc>
      </w:tr>
      <w:tr w:rsidR="006A0EDD" w:rsidRPr="00552964" w14:paraId="55073670" w14:textId="77777777" w:rsidTr="000A7B62">
        <w:trPr>
          <w:trHeight w:val="58"/>
        </w:trPr>
        <w:tc>
          <w:tcPr>
            <w:tcW w:w="2250" w:type="dxa"/>
            <w:shd w:val="clear" w:color="auto" w:fill="auto"/>
          </w:tcPr>
          <w:p w14:paraId="151D6270" w14:textId="77777777" w:rsidR="006A0EDD" w:rsidRPr="00445A8E" w:rsidRDefault="006A0EDD" w:rsidP="00545A5E">
            <w:pPr>
              <w:pStyle w:val="NoSpacing"/>
              <w:rPr>
                <w:b/>
              </w:rPr>
            </w:pPr>
            <w:r w:rsidRPr="00445A8E">
              <w:rPr>
                <w:b/>
              </w:rPr>
              <w:t>Source/Reference</w:t>
            </w:r>
          </w:p>
        </w:tc>
        <w:tc>
          <w:tcPr>
            <w:tcW w:w="7110" w:type="dxa"/>
            <w:shd w:val="clear" w:color="auto" w:fill="auto"/>
          </w:tcPr>
          <w:p w14:paraId="23562C58" w14:textId="77777777" w:rsidR="006A0EDD" w:rsidRPr="00522F63" w:rsidRDefault="006A0EDD" w:rsidP="00545A5E">
            <w:pPr>
              <w:pStyle w:val="NoSpacing"/>
              <w:rPr>
                <w:rFonts w:cs="Times New Roman"/>
                <w:b/>
                <w:bCs/>
                <w:szCs w:val="24"/>
              </w:rPr>
            </w:pPr>
            <w:r w:rsidRPr="00522F63">
              <w:rPr>
                <w:rFonts w:cs="Times New Roman"/>
                <w:b/>
                <w:bCs/>
                <w:szCs w:val="24"/>
              </w:rPr>
              <w:t xml:space="preserve">Applying Past Issues of AHA Coding Clinic for ICD-9-CM to ICD-10 </w:t>
            </w:r>
          </w:p>
          <w:p w14:paraId="3BEFF4A6" w14:textId="77777777" w:rsidR="006A0EDD" w:rsidRPr="00522F63" w:rsidRDefault="006A0EDD" w:rsidP="00545A5E">
            <w:pPr>
              <w:pStyle w:val="NoSpacing"/>
              <w:rPr>
                <w:rFonts w:cs="Times New Roman"/>
                <w:b/>
                <w:bCs/>
                <w:szCs w:val="24"/>
              </w:rPr>
            </w:pPr>
            <w:r w:rsidRPr="00522F63">
              <w:rPr>
                <w:rFonts w:cs="Times New Roman"/>
                <w:b/>
                <w:bCs/>
                <w:szCs w:val="24"/>
              </w:rPr>
              <w:t xml:space="preserve">Coding Clinic, Fourth Quarter 2015, Page 20 </w:t>
            </w:r>
          </w:p>
          <w:p w14:paraId="7F89657C" w14:textId="77777777" w:rsidR="006A0EDD" w:rsidRPr="00AD13A1" w:rsidRDefault="006A0EDD" w:rsidP="00545A5E">
            <w:pPr>
              <w:pStyle w:val="NoSpacing"/>
              <w:rPr>
                <w:rFonts w:eastAsia="Calibri"/>
                <w:b/>
              </w:rPr>
            </w:pPr>
            <w:r w:rsidRPr="00522F63">
              <w:rPr>
                <w:rFonts w:cs="Times New Roman"/>
                <w:b/>
                <w:bCs/>
                <w:szCs w:val="24"/>
              </w:rPr>
              <w:t>Coding advice or code assignments contained in this issue effective with discharges November 13, 2015</w:t>
            </w:r>
          </w:p>
        </w:tc>
      </w:tr>
      <w:tr w:rsidR="006A0EDD" w:rsidRPr="00552964" w14:paraId="69F6E616" w14:textId="77777777" w:rsidTr="000A7B62">
        <w:trPr>
          <w:trHeight w:val="58"/>
        </w:trPr>
        <w:tc>
          <w:tcPr>
            <w:tcW w:w="2250" w:type="dxa"/>
            <w:shd w:val="clear" w:color="auto" w:fill="auto"/>
          </w:tcPr>
          <w:p w14:paraId="10C05236" w14:textId="77777777" w:rsidR="006A0EDD" w:rsidRPr="00445A8E" w:rsidRDefault="006A0EDD" w:rsidP="00545A5E">
            <w:pPr>
              <w:pStyle w:val="NoSpacing"/>
              <w:rPr>
                <w:b/>
              </w:rPr>
            </w:pPr>
            <w:r w:rsidRPr="00445A8E">
              <w:rPr>
                <w:b/>
              </w:rPr>
              <w:t>Practice Guideline Recommendation</w:t>
            </w:r>
          </w:p>
        </w:tc>
        <w:tc>
          <w:tcPr>
            <w:tcW w:w="7110" w:type="dxa"/>
            <w:shd w:val="clear" w:color="auto" w:fill="auto"/>
          </w:tcPr>
          <w:p w14:paraId="3D1EAE32" w14:textId="77777777" w:rsidR="006A0EDD" w:rsidRPr="004D141A" w:rsidRDefault="006A0EDD" w:rsidP="00545A5E">
            <w:pPr>
              <w:numPr>
                <w:ilvl w:val="0"/>
                <w:numId w:val="31"/>
              </w:numPr>
              <w:spacing w:after="0" w:line="240" w:lineRule="auto"/>
              <w:rPr>
                <w:rFonts w:ascii="Times New Roman" w:hAnsi="Times New Roman"/>
                <w:b/>
                <w:bCs/>
                <w:sz w:val="24"/>
              </w:rPr>
            </w:pPr>
            <w:r w:rsidRPr="00404B57">
              <w:rPr>
                <w:rFonts w:ascii="Times New Roman" w:hAnsi="Times New Roman"/>
                <w:sz w:val="24"/>
              </w:rPr>
              <w:t xml:space="preserve">In general, clinical information and information on documentation best practices published in Coding Clinic were not unique to ICD-9-CM and remain applicable for ICD-10-CM with some caveats. For example, </w:t>
            </w:r>
            <w:r w:rsidRPr="00404B57">
              <w:rPr>
                <w:rFonts w:ascii="Times New Roman" w:hAnsi="Times New Roman"/>
                <w:i/>
                <w:iCs/>
                <w:sz w:val="24"/>
              </w:rPr>
              <w:t>Coding Clinic</w:t>
            </w:r>
            <w:r w:rsidRPr="00404B57">
              <w:rPr>
                <w:rFonts w:ascii="Times New Roman" w:hAnsi="Times New Roman"/>
                <w:sz w:val="24"/>
              </w:rPr>
              <w:t xml:space="preserve"> may still be useful to understand clinical clues when applying the guideline regarding not coding separately signs or symptoms that are integral to a condition. </w:t>
            </w:r>
            <w:r w:rsidRPr="004D141A">
              <w:rPr>
                <w:rFonts w:ascii="Times New Roman" w:hAnsi="Times New Roman"/>
                <w:b/>
                <w:bCs/>
                <w:sz w:val="24"/>
              </w:rPr>
              <w:t xml:space="preserve">Users may continue to use that information as clues—not clinical criteria.  </w:t>
            </w:r>
          </w:p>
          <w:p w14:paraId="5D0D8011" w14:textId="77777777" w:rsidR="006A0EDD" w:rsidRPr="00552964" w:rsidRDefault="006A0EDD" w:rsidP="00545A5E">
            <w:pPr>
              <w:pStyle w:val="NoSpacing"/>
              <w:numPr>
                <w:ilvl w:val="0"/>
                <w:numId w:val="3"/>
              </w:numPr>
            </w:pPr>
            <w:r w:rsidRPr="00404B57">
              <w:t xml:space="preserve">As far as previously published advice on documentation is concerned, documentation issues would generally not be unique to ICD-9-CM, and so long as there is nothing new published in </w:t>
            </w:r>
            <w:r w:rsidRPr="00404B57">
              <w:rPr>
                <w:i/>
                <w:iCs/>
              </w:rPr>
              <w:t>Coding Clinic for ICD-10-CM and ICD-10-PCS</w:t>
            </w:r>
            <w:r w:rsidRPr="00404B57">
              <w:t xml:space="preserve"> to replace it, the advice would stand.</w:t>
            </w:r>
          </w:p>
        </w:tc>
      </w:tr>
      <w:tr w:rsidR="006A0EDD" w:rsidRPr="00552964" w14:paraId="144B29E2" w14:textId="77777777" w:rsidTr="000A7B62">
        <w:trPr>
          <w:trHeight w:val="58"/>
        </w:trPr>
        <w:tc>
          <w:tcPr>
            <w:tcW w:w="2250" w:type="dxa"/>
            <w:shd w:val="clear" w:color="auto" w:fill="D9D9D9"/>
          </w:tcPr>
          <w:p w14:paraId="3FE5D8FF" w14:textId="77777777" w:rsidR="006A0EDD" w:rsidRPr="00552964" w:rsidRDefault="006A0EDD" w:rsidP="00545A5E">
            <w:pPr>
              <w:spacing w:after="0" w:line="240" w:lineRule="auto"/>
              <w:rPr>
                <w:rFonts w:ascii="Times New Roman" w:eastAsia="Calibri" w:hAnsi="Times New Roman" w:cs="Times New Roman"/>
                <w:b/>
                <w:sz w:val="12"/>
                <w:szCs w:val="12"/>
              </w:rPr>
            </w:pPr>
          </w:p>
        </w:tc>
        <w:tc>
          <w:tcPr>
            <w:tcW w:w="7110" w:type="dxa"/>
            <w:shd w:val="clear" w:color="auto" w:fill="D9D9D9"/>
          </w:tcPr>
          <w:p w14:paraId="6FC283E7" w14:textId="77777777" w:rsidR="006A0EDD" w:rsidRPr="00552964" w:rsidRDefault="006A0EDD" w:rsidP="00545A5E">
            <w:pPr>
              <w:tabs>
                <w:tab w:val="left" w:pos="7182"/>
              </w:tabs>
              <w:spacing w:after="0" w:afterAutospacing="1" w:line="240" w:lineRule="auto"/>
              <w:ind w:right="-810"/>
              <w:rPr>
                <w:rFonts w:ascii="Times New Roman" w:eastAsia="Calibri" w:hAnsi="Times New Roman" w:cs="Times New Roman"/>
                <w:sz w:val="12"/>
                <w:szCs w:val="12"/>
              </w:rPr>
            </w:pPr>
          </w:p>
        </w:tc>
      </w:tr>
      <w:tr w:rsidR="006A0EDD" w:rsidRPr="00552964" w14:paraId="76C969F9" w14:textId="77777777" w:rsidTr="000A7B62">
        <w:trPr>
          <w:trHeight w:val="58"/>
        </w:trPr>
        <w:tc>
          <w:tcPr>
            <w:tcW w:w="2250" w:type="dxa"/>
          </w:tcPr>
          <w:p w14:paraId="22928B69" w14:textId="77777777" w:rsidR="006A0EDD" w:rsidRPr="00445A8E" w:rsidRDefault="006A0EDD" w:rsidP="00545A5E">
            <w:pPr>
              <w:pStyle w:val="NoSpacing"/>
              <w:rPr>
                <w:b/>
              </w:rPr>
            </w:pPr>
            <w:r w:rsidRPr="00445A8E">
              <w:rPr>
                <w:b/>
              </w:rPr>
              <w:t>Source/Reference</w:t>
            </w:r>
          </w:p>
        </w:tc>
        <w:tc>
          <w:tcPr>
            <w:tcW w:w="7110" w:type="dxa"/>
          </w:tcPr>
          <w:p w14:paraId="6AFAF97C" w14:textId="77777777" w:rsidR="006A0EDD" w:rsidRPr="00522F63" w:rsidRDefault="006A0EDD" w:rsidP="00545A5E">
            <w:pPr>
              <w:spacing w:after="0" w:line="240" w:lineRule="auto"/>
              <w:rPr>
                <w:rFonts w:ascii="Times New Roman" w:hAnsi="Times New Roman" w:cs="Times New Roman"/>
                <w:b/>
                <w:sz w:val="24"/>
              </w:rPr>
            </w:pPr>
            <w:r w:rsidRPr="00522F63">
              <w:rPr>
                <w:rFonts w:ascii="Times New Roman" w:hAnsi="Times New Roman" w:cs="Times New Roman"/>
                <w:b/>
                <w:sz w:val="24"/>
              </w:rPr>
              <w:t>Use of Coding Clinic as Clinical Criteria for Code Assignment</w:t>
            </w:r>
          </w:p>
          <w:p w14:paraId="3941E8AF" w14:textId="77777777" w:rsidR="006A0EDD" w:rsidRPr="00522F63" w:rsidRDefault="006A0EDD" w:rsidP="00545A5E">
            <w:pPr>
              <w:spacing w:after="0" w:line="240" w:lineRule="auto"/>
              <w:rPr>
                <w:rFonts w:ascii="Times New Roman" w:hAnsi="Times New Roman" w:cs="Times New Roman"/>
                <w:b/>
                <w:sz w:val="24"/>
              </w:rPr>
            </w:pPr>
            <w:r w:rsidRPr="00522F63">
              <w:rPr>
                <w:rFonts w:ascii="Times New Roman" w:hAnsi="Times New Roman" w:cs="Times New Roman"/>
                <w:b/>
                <w:sz w:val="24"/>
              </w:rPr>
              <w:t>Coding Clinic, Third Quarter 2008, Page 16</w:t>
            </w:r>
          </w:p>
          <w:p w14:paraId="308844F0" w14:textId="77777777" w:rsidR="006A0EDD" w:rsidRPr="00AD13A1" w:rsidRDefault="006A0EDD" w:rsidP="00545A5E">
            <w:pPr>
              <w:pStyle w:val="NoSpacing"/>
              <w:rPr>
                <w:b/>
                <w:bCs/>
              </w:rPr>
            </w:pPr>
            <w:r w:rsidRPr="00522F63">
              <w:rPr>
                <w:rFonts w:cs="Times New Roman"/>
                <w:b/>
              </w:rPr>
              <w:t>Effective with Discharges: September 19, 2008</w:t>
            </w:r>
          </w:p>
        </w:tc>
      </w:tr>
      <w:tr w:rsidR="006A0EDD" w:rsidRPr="00552964" w14:paraId="5A50A9B8" w14:textId="77777777" w:rsidTr="000A7B62">
        <w:trPr>
          <w:trHeight w:val="58"/>
        </w:trPr>
        <w:tc>
          <w:tcPr>
            <w:tcW w:w="2250" w:type="dxa"/>
          </w:tcPr>
          <w:p w14:paraId="27F37DE7" w14:textId="77777777" w:rsidR="006A0EDD" w:rsidRPr="00445A8E" w:rsidRDefault="006A0EDD" w:rsidP="00545A5E">
            <w:pPr>
              <w:pStyle w:val="NoSpacing"/>
              <w:rPr>
                <w:b/>
              </w:rPr>
            </w:pPr>
            <w:r w:rsidRPr="00445A8E">
              <w:rPr>
                <w:b/>
              </w:rPr>
              <w:t>Practice Guideline Recommendation</w:t>
            </w:r>
          </w:p>
        </w:tc>
        <w:tc>
          <w:tcPr>
            <w:tcW w:w="7110" w:type="dxa"/>
          </w:tcPr>
          <w:p w14:paraId="4331D7EA" w14:textId="77777777" w:rsidR="006A0EDD" w:rsidRPr="00404B57" w:rsidRDefault="006A0EDD" w:rsidP="00545A5E">
            <w:pPr>
              <w:spacing w:after="0" w:line="240" w:lineRule="auto"/>
              <w:rPr>
                <w:rFonts w:ascii="Times New Roman" w:hAnsi="Times New Roman"/>
                <w:b/>
                <w:sz w:val="24"/>
              </w:rPr>
            </w:pPr>
            <w:r w:rsidRPr="00404B57">
              <w:rPr>
                <w:rFonts w:ascii="Times New Roman" w:hAnsi="Times New Roman"/>
                <w:b/>
                <w:sz w:val="24"/>
              </w:rPr>
              <w:t>Question:</w:t>
            </w:r>
          </w:p>
          <w:p w14:paraId="6A351368" w14:textId="77777777" w:rsidR="006A0EDD" w:rsidRPr="00404B57" w:rsidRDefault="006A0EDD" w:rsidP="00545A5E">
            <w:pPr>
              <w:numPr>
                <w:ilvl w:val="0"/>
                <w:numId w:val="32"/>
              </w:numPr>
              <w:spacing w:after="0" w:line="240" w:lineRule="auto"/>
              <w:rPr>
                <w:rFonts w:ascii="Times New Roman" w:hAnsi="Times New Roman"/>
                <w:sz w:val="24"/>
              </w:rPr>
            </w:pPr>
            <w:r w:rsidRPr="00404B57">
              <w:rPr>
                <w:rFonts w:ascii="Times New Roman" w:hAnsi="Times New Roman"/>
                <w:sz w:val="24"/>
              </w:rPr>
              <w:lastRenderedPageBreak/>
              <w:t>Can background clinical information published in Coding Clinic be used as clinical criteria for code assignment?</w:t>
            </w:r>
          </w:p>
          <w:p w14:paraId="11367019" w14:textId="77777777" w:rsidR="006A0EDD" w:rsidRPr="00404B57" w:rsidRDefault="006A0EDD" w:rsidP="00545A5E">
            <w:pPr>
              <w:spacing w:after="0" w:line="240" w:lineRule="auto"/>
              <w:rPr>
                <w:rFonts w:ascii="Times New Roman" w:hAnsi="Times New Roman"/>
                <w:b/>
                <w:sz w:val="24"/>
              </w:rPr>
            </w:pPr>
            <w:r w:rsidRPr="00404B57">
              <w:rPr>
                <w:rFonts w:ascii="Times New Roman" w:hAnsi="Times New Roman"/>
                <w:b/>
                <w:sz w:val="24"/>
              </w:rPr>
              <w:t>Answer:</w:t>
            </w:r>
          </w:p>
          <w:p w14:paraId="70773776" w14:textId="77777777" w:rsidR="006A0EDD" w:rsidRPr="00404B57" w:rsidRDefault="006A0EDD" w:rsidP="00545A5E">
            <w:pPr>
              <w:numPr>
                <w:ilvl w:val="0"/>
                <w:numId w:val="32"/>
              </w:numPr>
              <w:spacing w:after="0" w:line="240" w:lineRule="auto"/>
              <w:rPr>
                <w:rFonts w:ascii="Times New Roman" w:hAnsi="Times New Roman"/>
                <w:sz w:val="24"/>
              </w:rPr>
            </w:pPr>
            <w:r w:rsidRPr="004D141A">
              <w:rPr>
                <w:rFonts w:ascii="Times New Roman" w:hAnsi="Times New Roman"/>
                <w:b/>
                <w:bCs/>
                <w:sz w:val="24"/>
              </w:rPr>
              <w:t xml:space="preserve">No, background material published in </w:t>
            </w:r>
            <w:r w:rsidRPr="004D141A">
              <w:rPr>
                <w:rFonts w:ascii="Times New Roman" w:hAnsi="Times New Roman"/>
                <w:b/>
                <w:bCs/>
                <w:i/>
                <w:iCs/>
                <w:sz w:val="24"/>
              </w:rPr>
              <w:t>Coding Clinic</w:t>
            </w:r>
            <w:r w:rsidRPr="004D141A">
              <w:rPr>
                <w:rFonts w:ascii="Times New Roman" w:hAnsi="Times New Roman"/>
                <w:b/>
                <w:bCs/>
                <w:sz w:val="24"/>
              </w:rPr>
              <w:t xml:space="preserve"> cannot be used as clinical criteria for code assignment</w:t>
            </w:r>
            <w:r w:rsidRPr="00404B57">
              <w:rPr>
                <w:rFonts w:ascii="Times New Roman" w:hAnsi="Times New Roman"/>
                <w:sz w:val="24"/>
              </w:rPr>
              <w:t xml:space="preserve">.  As stated in </w:t>
            </w:r>
            <w:r w:rsidRPr="00404B57">
              <w:rPr>
                <w:rFonts w:ascii="Times New Roman" w:hAnsi="Times New Roman"/>
                <w:i/>
                <w:iCs/>
                <w:sz w:val="24"/>
              </w:rPr>
              <w:t>Coding Clinic,</w:t>
            </w:r>
            <w:r w:rsidRPr="00404B57">
              <w:rPr>
                <w:rFonts w:ascii="Times New Roman" w:hAnsi="Times New Roman"/>
                <w:sz w:val="24"/>
              </w:rPr>
              <w:t xml:space="preserve"> Second Quarter 1998, pages 4-5:</w:t>
            </w:r>
          </w:p>
          <w:p w14:paraId="2897958A" w14:textId="77777777" w:rsidR="006A0EDD" w:rsidRPr="00AD13A1" w:rsidRDefault="006A0EDD" w:rsidP="00545A5E">
            <w:pPr>
              <w:pStyle w:val="NoSpacing"/>
              <w:ind w:left="720"/>
            </w:pPr>
            <w:r w:rsidRPr="00404B57">
              <w:t xml:space="preserve">“Any clinical information published in </w:t>
            </w:r>
            <w:r w:rsidRPr="00404B57">
              <w:rPr>
                <w:i/>
                <w:iCs/>
              </w:rPr>
              <w:t>Coding Clinic</w:t>
            </w:r>
            <w:r w:rsidRPr="00404B57">
              <w:t>, is provided as background material to aid the coder’s understanding of disease processes.  The information is intended to provide the coder with ‘clues’ to identify possible gaps in documentation where additional physician query may be necessary.  It is not intended to replace the need for specific physician documentation to substantiate code assignment.”</w:t>
            </w:r>
          </w:p>
        </w:tc>
      </w:tr>
      <w:tr w:rsidR="006A0EDD" w:rsidRPr="00552964" w14:paraId="2FF9327E" w14:textId="77777777" w:rsidTr="000A7B62">
        <w:trPr>
          <w:trHeight w:val="58"/>
        </w:trPr>
        <w:tc>
          <w:tcPr>
            <w:tcW w:w="2250" w:type="dxa"/>
            <w:shd w:val="clear" w:color="auto" w:fill="D9D9D9"/>
          </w:tcPr>
          <w:p w14:paraId="638BE8D5" w14:textId="77777777" w:rsidR="006A0EDD" w:rsidRPr="00552964" w:rsidRDefault="006A0EDD" w:rsidP="00545A5E">
            <w:pPr>
              <w:spacing w:after="0" w:line="240" w:lineRule="auto"/>
              <w:rPr>
                <w:rFonts w:ascii="Times New Roman" w:eastAsia="Calibri" w:hAnsi="Times New Roman" w:cs="Times New Roman"/>
                <w:b/>
                <w:sz w:val="12"/>
                <w:szCs w:val="12"/>
              </w:rPr>
            </w:pPr>
          </w:p>
        </w:tc>
        <w:tc>
          <w:tcPr>
            <w:tcW w:w="7110" w:type="dxa"/>
            <w:shd w:val="clear" w:color="auto" w:fill="D9D9D9"/>
          </w:tcPr>
          <w:p w14:paraId="0970304A" w14:textId="77777777" w:rsidR="006A0EDD" w:rsidRPr="00552964" w:rsidRDefault="006A0EDD" w:rsidP="00545A5E">
            <w:pPr>
              <w:tabs>
                <w:tab w:val="left" w:pos="7182"/>
              </w:tabs>
              <w:spacing w:after="0" w:afterAutospacing="1" w:line="240" w:lineRule="auto"/>
              <w:ind w:right="-810"/>
              <w:rPr>
                <w:rFonts w:ascii="Times New Roman" w:eastAsia="Calibri" w:hAnsi="Times New Roman" w:cs="Times New Roman"/>
                <w:sz w:val="12"/>
                <w:szCs w:val="12"/>
              </w:rPr>
            </w:pPr>
          </w:p>
        </w:tc>
      </w:tr>
      <w:tr w:rsidR="006A0EDD" w:rsidRPr="00552964" w14:paraId="22891B01" w14:textId="77777777" w:rsidTr="000A7B62">
        <w:trPr>
          <w:trHeight w:val="58"/>
        </w:trPr>
        <w:tc>
          <w:tcPr>
            <w:tcW w:w="2250" w:type="dxa"/>
            <w:shd w:val="clear" w:color="auto" w:fill="auto"/>
          </w:tcPr>
          <w:p w14:paraId="0612DAAD" w14:textId="77777777" w:rsidR="006A0EDD" w:rsidRPr="00445A8E" w:rsidRDefault="006A0EDD" w:rsidP="00545A5E">
            <w:pPr>
              <w:pStyle w:val="NoSpacing"/>
              <w:rPr>
                <w:b/>
              </w:rPr>
            </w:pPr>
            <w:r w:rsidRPr="00445A8E">
              <w:rPr>
                <w:b/>
              </w:rPr>
              <w:t>Source/Reference</w:t>
            </w:r>
          </w:p>
        </w:tc>
        <w:tc>
          <w:tcPr>
            <w:tcW w:w="7110" w:type="dxa"/>
            <w:shd w:val="clear" w:color="auto" w:fill="auto"/>
          </w:tcPr>
          <w:p w14:paraId="1C5BDC97" w14:textId="77777777" w:rsidR="006A0EDD" w:rsidRPr="00522F63" w:rsidRDefault="006A0EDD" w:rsidP="00545A5E">
            <w:pPr>
              <w:pStyle w:val="NoSpacing"/>
              <w:rPr>
                <w:rFonts w:cs="Times New Roman"/>
                <w:b/>
                <w:bCs/>
                <w:szCs w:val="24"/>
              </w:rPr>
            </w:pPr>
            <w:r w:rsidRPr="00522F63">
              <w:rPr>
                <w:rFonts w:cs="Times New Roman"/>
                <w:b/>
                <w:bCs/>
                <w:szCs w:val="24"/>
              </w:rPr>
              <w:t xml:space="preserve">Documentation Guidelines </w:t>
            </w:r>
          </w:p>
          <w:p w14:paraId="0B2A5A1C" w14:textId="77777777" w:rsidR="006A0EDD" w:rsidRPr="00522F63" w:rsidRDefault="006A0EDD" w:rsidP="00545A5E">
            <w:pPr>
              <w:pStyle w:val="NoSpacing"/>
              <w:rPr>
                <w:rFonts w:cs="Times New Roman"/>
                <w:b/>
                <w:bCs/>
                <w:szCs w:val="24"/>
              </w:rPr>
            </w:pPr>
            <w:r w:rsidRPr="00522F63">
              <w:rPr>
                <w:rFonts w:cs="Times New Roman"/>
                <w:b/>
                <w:bCs/>
                <w:szCs w:val="24"/>
              </w:rPr>
              <w:t xml:space="preserve">Coding Clinic, Second Quarter 2000, Page 17 to 18 </w:t>
            </w:r>
          </w:p>
          <w:p w14:paraId="72CFA20F" w14:textId="77777777" w:rsidR="006A0EDD" w:rsidRPr="00B44FBA" w:rsidRDefault="006A0EDD" w:rsidP="00545A5E">
            <w:pPr>
              <w:pStyle w:val="NoSpacing"/>
              <w:rPr>
                <w:b/>
              </w:rPr>
            </w:pPr>
            <w:r w:rsidRPr="00522F63">
              <w:rPr>
                <w:rFonts w:cs="Times New Roman"/>
                <w:b/>
                <w:bCs/>
                <w:szCs w:val="24"/>
              </w:rPr>
              <w:t>Effective with discharges: July 1, 2000</w:t>
            </w:r>
          </w:p>
        </w:tc>
      </w:tr>
      <w:tr w:rsidR="006A0EDD" w:rsidRPr="00552964" w14:paraId="412E4167" w14:textId="77777777" w:rsidTr="000A7B62">
        <w:trPr>
          <w:trHeight w:val="58"/>
        </w:trPr>
        <w:tc>
          <w:tcPr>
            <w:tcW w:w="2250" w:type="dxa"/>
            <w:shd w:val="clear" w:color="auto" w:fill="auto"/>
          </w:tcPr>
          <w:p w14:paraId="00DDAB17" w14:textId="77777777" w:rsidR="006A0EDD" w:rsidRPr="00445A8E" w:rsidRDefault="006A0EDD" w:rsidP="00545A5E">
            <w:pPr>
              <w:pStyle w:val="NoSpacing"/>
              <w:rPr>
                <w:b/>
              </w:rPr>
            </w:pPr>
            <w:r w:rsidRPr="00445A8E">
              <w:rPr>
                <w:b/>
              </w:rPr>
              <w:t>Practice Guideline Recommendation</w:t>
            </w:r>
          </w:p>
        </w:tc>
        <w:tc>
          <w:tcPr>
            <w:tcW w:w="7110" w:type="dxa"/>
            <w:shd w:val="clear" w:color="auto" w:fill="auto"/>
          </w:tcPr>
          <w:p w14:paraId="52F94DE6" w14:textId="77777777" w:rsidR="006A0EDD" w:rsidRPr="00F658F4" w:rsidRDefault="006A0EDD" w:rsidP="00545A5E">
            <w:pPr>
              <w:pStyle w:val="NoSpacing"/>
              <w:numPr>
                <w:ilvl w:val="0"/>
                <w:numId w:val="2"/>
              </w:numPr>
              <w:rPr>
                <w:rFonts w:eastAsia="Calibri" w:cs="Times New Roman"/>
                <w:szCs w:val="24"/>
              </w:rPr>
            </w:pPr>
            <w:r w:rsidRPr="004D141A">
              <w:rPr>
                <w:rFonts w:cs="Times New Roman"/>
                <w:b/>
                <w:bCs/>
                <w:szCs w:val="24"/>
              </w:rPr>
              <w:t>When the documentation in the medical record is clear and consistent, coders may assign and report codes</w:t>
            </w:r>
            <w:r w:rsidRPr="00404B57">
              <w:rPr>
                <w:rFonts w:cs="Times New Roman"/>
                <w:szCs w:val="24"/>
              </w:rPr>
              <w:t xml:space="preserve">. If there is evidence of a diagnosis within the medical record, and the coder is uncertain whether it is a valid diagnosis because the documentation is incomplete, vague, or contradictory, it is the coder's responsibility to query the attending physician to determine if this diagnosis should be included in the final diagnostic statement. </w:t>
            </w:r>
            <w:r w:rsidRPr="004D141A">
              <w:rPr>
                <w:rFonts w:cs="Times New Roman"/>
                <w:b/>
                <w:bCs/>
                <w:szCs w:val="24"/>
              </w:rPr>
              <w:t xml:space="preserve">All diagnoses should be supported by physician documentation. </w:t>
            </w:r>
            <w:r w:rsidRPr="00404B57">
              <w:rPr>
                <w:rFonts w:cs="Times New Roman"/>
                <w:szCs w:val="24"/>
              </w:rPr>
              <w:t>Documentation is not limited to the face sheet, discharge summary, progress notes, history and physical, or other report designed to capture diagnostic information.</w:t>
            </w:r>
          </w:p>
        </w:tc>
      </w:tr>
      <w:tr w:rsidR="006A0EDD" w:rsidRPr="00552964" w14:paraId="2FC24883" w14:textId="77777777" w:rsidTr="000A7B62">
        <w:trPr>
          <w:trHeight w:val="58"/>
        </w:trPr>
        <w:tc>
          <w:tcPr>
            <w:tcW w:w="2250" w:type="dxa"/>
            <w:shd w:val="clear" w:color="auto" w:fill="D9D9D9"/>
          </w:tcPr>
          <w:p w14:paraId="268FF159" w14:textId="77777777" w:rsidR="006A0EDD" w:rsidRPr="00552964" w:rsidRDefault="006A0EDD" w:rsidP="00545A5E">
            <w:pPr>
              <w:spacing w:after="0" w:line="240" w:lineRule="auto"/>
              <w:rPr>
                <w:rFonts w:ascii="Times New Roman" w:eastAsia="Calibri" w:hAnsi="Times New Roman" w:cs="Times New Roman"/>
                <w:b/>
                <w:sz w:val="12"/>
                <w:szCs w:val="12"/>
              </w:rPr>
            </w:pPr>
          </w:p>
        </w:tc>
        <w:tc>
          <w:tcPr>
            <w:tcW w:w="7110" w:type="dxa"/>
            <w:shd w:val="clear" w:color="auto" w:fill="D9D9D9"/>
          </w:tcPr>
          <w:p w14:paraId="7B2AB081" w14:textId="77777777" w:rsidR="006A0EDD" w:rsidRPr="00552964" w:rsidRDefault="006A0EDD" w:rsidP="00545A5E">
            <w:pPr>
              <w:tabs>
                <w:tab w:val="left" w:pos="7182"/>
              </w:tabs>
              <w:spacing w:after="0" w:afterAutospacing="1" w:line="240" w:lineRule="auto"/>
              <w:ind w:right="-810"/>
              <w:rPr>
                <w:rFonts w:ascii="Times New Roman" w:eastAsia="Calibri" w:hAnsi="Times New Roman" w:cs="Times New Roman"/>
                <w:sz w:val="12"/>
                <w:szCs w:val="12"/>
              </w:rPr>
            </w:pPr>
          </w:p>
        </w:tc>
      </w:tr>
    </w:tbl>
    <w:p w14:paraId="58AC6AAF" w14:textId="77777777" w:rsidR="006A0EDD" w:rsidRDefault="006A0EDD" w:rsidP="006A0EDD">
      <w:pPr>
        <w:spacing w:after="0" w:line="240" w:lineRule="auto"/>
        <w:rPr>
          <w:rFonts w:ascii="Times New Roman" w:eastAsia="Calibri" w:hAnsi="Times New Roman" w:cs="Times New Roman"/>
          <w:b/>
          <w:sz w:val="24"/>
          <w:u w:val="single"/>
        </w:rPr>
      </w:pPr>
    </w:p>
    <w:p w14:paraId="64B1C539" w14:textId="77777777" w:rsidR="00531E5E" w:rsidRPr="00531E5E" w:rsidRDefault="00531E5E" w:rsidP="00531E5E">
      <w:pPr>
        <w:spacing w:after="0" w:line="240" w:lineRule="auto"/>
        <w:jc w:val="center"/>
        <w:rPr>
          <w:rFonts w:ascii="Times New Roman" w:eastAsia="Calibri" w:hAnsi="Times New Roman" w:cs="Times New Roman"/>
          <w:b/>
          <w:sz w:val="24"/>
        </w:rPr>
      </w:pPr>
      <w:r w:rsidRPr="00531E5E">
        <w:rPr>
          <w:rFonts w:ascii="Times New Roman" w:eastAsia="Calibri" w:hAnsi="Times New Roman" w:cs="Times New Roman"/>
          <w:b/>
          <w:sz w:val="24"/>
        </w:rPr>
        <w:t>Conclusion</w:t>
      </w:r>
    </w:p>
    <w:p w14:paraId="12E815D8" w14:textId="77777777" w:rsidR="00531E5E" w:rsidRPr="00531E5E" w:rsidRDefault="00531E5E" w:rsidP="00531E5E">
      <w:pPr>
        <w:spacing w:after="0" w:line="240" w:lineRule="auto"/>
        <w:rPr>
          <w:rFonts w:ascii="Times New Roman" w:eastAsia="Calibri" w:hAnsi="Times New Roman" w:cs="Times New Roman"/>
          <w:b/>
          <w:sz w:val="24"/>
        </w:rPr>
      </w:pPr>
    </w:p>
    <w:bookmarkStart w:id="4" w:name="_Hlk152847591"/>
    <w:p w14:paraId="3701CFB4" w14:textId="079E0FA1" w:rsidR="00061DFA" w:rsidRPr="00061DFA" w:rsidRDefault="00531E5E" w:rsidP="00061DFA">
      <w:pPr>
        <w:spacing w:after="0" w:afterAutospacing="1" w:line="240" w:lineRule="auto"/>
        <w:rPr>
          <w:rFonts w:ascii="Times New Roman" w:eastAsia="Calibri" w:hAnsi="Times New Roman" w:cs="Times New Roman"/>
          <w:sz w:val="24"/>
        </w:rPr>
      </w:pPr>
      <w:r w:rsidRPr="00531E5E">
        <w:rPr>
          <w:rFonts w:ascii="Times New Roman" w:eastAsia="Calibri" w:hAnsi="Times New Roman" w:cs="Times New Roman"/>
          <w:sz w:val="24"/>
          <w:szCs w:val="24"/>
        </w:rPr>
        <w:fldChar w:fldCharType="begin"/>
      </w:r>
      <w:r w:rsidRPr="00531E5E">
        <w:rPr>
          <w:rFonts w:ascii="Times New Roman" w:eastAsia="Calibri" w:hAnsi="Times New Roman" w:cs="Times New Roman"/>
          <w:sz w:val="24"/>
          <w:szCs w:val="24"/>
        </w:rPr>
        <w:instrText xml:space="preserve"> MERGEFIELD Facility </w:instrText>
      </w:r>
      <w:r w:rsidRPr="00531E5E">
        <w:rPr>
          <w:rFonts w:ascii="Times New Roman" w:eastAsia="Calibri" w:hAnsi="Times New Roman" w:cs="Times New Roman"/>
          <w:sz w:val="24"/>
          <w:szCs w:val="24"/>
        </w:rPr>
        <w:fldChar w:fldCharType="separate"/>
      </w:r>
      <w:r w:rsidRPr="00531E5E">
        <w:rPr>
          <w:rFonts w:ascii="Times New Roman" w:eastAsia="Calibri" w:hAnsi="Times New Roman" w:cs="Times New Roman"/>
          <w:noProof/>
          <w:sz w:val="24"/>
          <w:szCs w:val="24"/>
        </w:rPr>
        <w:t>«Facility»</w:t>
      </w:r>
      <w:r w:rsidRPr="00531E5E">
        <w:rPr>
          <w:rFonts w:ascii="Times New Roman" w:eastAsia="Calibri" w:hAnsi="Times New Roman" w:cs="Times New Roman"/>
          <w:sz w:val="24"/>
          <w:szCs w:val="24"/>
        </w:rPr>
        <w:fldChar w:fldCharType="end"/>
      </w:r>
      <w:r w:rsidRPr="00531E5E">
        <w:rPr>
          <w:rFonts w:ascii="Times New Roman" w:eastAsia="Calibri" w:hAnsi="Times New Roman" w:cs="Times New Roman"/>
          <w:sz w:val="24"/>
          <w:szCs w:val="24"/>
        </w:rPr>
        <w:t xml:space="preserve"> </w:t>
      </w:r>
      <w:r w:rsidRPr="00531E5E">
        <w:rPr>
          <w:rFonts w:ascii="Times New Roman" w:eastAsia="Calibri" w:hAnsi="Times New Roman" w:cs="Times New Roman"/>
          <w:sz w:val="24"/>
        </w:rPr>
        <w:t xml:space="preserve">provided medically necessary services to </w:t>
      </w:r>
      <w:r w:rsidRPr="00531E5E">
        <w:rPr>
          <w:rFonts w:ascii="Times New Roman" w:eastAsia="Calibri" w:hAnsi="Times New Roman" w:cs="Times New Roman"/>
          <w:sz w:val="24"/>
        </w:rPr>
        <w:fldChar w:fldCharType="begin"/>
      </w:r>
      <w:r w:rsidRPr="00531E5E">
        <w:rPr>
          <w:rFonts w:ascii="Times New Roman" w:eastAsia="Calibri" w:hAnsi="Times New Roman" w:cs="Times New Roman"/>
          <w:sz w:val="24"/>
        </w:rPr>
        <w:instrText xml:space="preserve"> MERGEFIELD </w:instrText>
      </w:r>
      <w:r w:rsidRPr="00531E5E">
        <w:rPr>
          <w:rFonts w:ascii="Times New Roman" w:eastAsia="Calibri" w:hAnsi="Times New Roman" w:cs="Times New Roman"/>
          <w:bCs/>
          <w:sz w:val="24"/>
          <w:lang w:bidi="en-US"/>
        </w:rPr>
        <w:instrText>PAT_Full_Name</w:instrText>
      </w:r>
      <w:r w:rsidRPr="00531E5E">
        <w:rPr>
          <w:rFonts w:ascii="Times New Roman" w:eastAsia="Calibri" w:hAnsi="Times New Roman" w:cs="Times New Roman"/>
          <w:sz w:val="24"/>
        </w:rPr>
        <w:instrText xml:space="preserve"> </w:instrText>
      </w:r>
      <w:r w:rsidRPr="00531E5E">
        <w:rPr>
          <w:rFonts w:ascii="Times New Roman" w:eastAsia="Calibri" w:hAnsi="Times New Roman" w:cs="Times New Roman"/>
          <w:sz w:val="24"/>
        </w:rPr>
        <w:fldChar w:fldCharType="separate"/>
      </w:r>
      <w:r w:rsidRPr="00531E5E">
        <w:rPr>
          <w:rFonts w:ascii="Times New Roman" w:eastAsia="Calibri" w:hAnsi="Times New Roman" w:cs="Times New Roman"/>
          <w:noProof/>
          <w:sz w:val="24"/>
        </w:rPr>
        <w:t>«PAT_Full_Name»</w:t>
      </w:r>
      <w:r w:rsidRPr="00531E5E">
        <w:rPr>
          <w:rFonts w:ascii="Times New Roman" w:eastAsia="Calibri" w:hAnsi="Times New Roman" w:cs="Times New Roman"/>
          <w:sz w:val="24"/>
        </w:rPr>
        <w:fldChar w:fldCharType="end"/>
      </w:r>
      <w:r w:rsidRPr="00531E5E">
        <w:rPr>
          <w:rFonts w:ascii="Times New Roman" w:eastAsia="Calibri" w:hAnsi="Times New Roman" w:cs="Times New Roman"/>
          <w:sz w:val="24"/>
        </w:rPr>
        <w:t xml:space="preserve"> with the expectation that those services would be reimbursed according to the documentation in all UHDDS communications.  </w:t>
      </w:r>
      <w:r w:rsidRPr="00531E5E">
        <w:rPr>
          <w:rFonts w:ascii="Times New Roman" w:eastAsia="Calibri" w:hAnsi="Times New Roman" w:cs="Times New Roman"/>
          <w:sz w:val="24"/>
          <w:szCs w:val="24"/>
        </w:rPr>
        <w:fldChar w:fldCharType="begin"/>
      </w:r>
      <w:r w:rsidRPr="00531E5E">
        <w:rPr>
          <w:rFonts w:ascii="Times New Roman" w:eastAsia="Calibri" w:hAnsi="Times New Roman" w:cs="Times New Roman"/>
          <w:sz w:val="24"/>
          <w:szCs w:val="24"/>
        </w:rPr>
        <w:instrText xml:space="preserve"> MERGEFIELD Facility </w:instrText>
      </w:r>
      <w:r w:rsidRPr="00531E5E">
        <w:rPr>
          <w:rFonts w:ascii="Times New Roman" w:eastAsia="Calibri" w:hAnsi="Times New Roman" w:cs="Times New Roman"/>
          <w:sz w:val="24"/>
          <w:szCs w:val="24"/>
        </w:rPr>
        <w:fldChar w:fldCharType="separate"/>
      </w:r>
      <w:r w:rsidRPr="00531E5E">
        <w:rPr>
          <w:rFonts w:ascii="Times New Roman" w:eastAsia="Calibri" w:hAnsi="Times New Roman" w:cs="Times New Roman"/>
          <w:noProof/>
          <w:sz w:val="24"/>
          <w:szCs w:val="24"/>
        </w:rPr>
        <w:t>«Facility»</w:t>
      </w:r>
      <w:r w:rsidRPr="00531E5E">
        <w:rPr>
          <w:rFonts w:ascii="Times New Roman" w:eastAsia="Calibri" w:hAnsi="Times New Roman" w:cs="Times New Roman"/>
          <w:sz w:val="24"/>
          <w:szCs w:val="24"/>
        </w:rPr>
        <w:fldChar w:fldCharType="end"/>
      </w:r>
      <w:r w:rsidRPr="00531E5E">
        <w:rPr>
          <w:rFonts w:ascii="Times New Roman" w:eastAsia="Calibri" w:hAnsi="Times New Roman" w:cs="Times New Roman"/>
          <w:sz w:val="24"/>
          <w:szCs w:val="24"/>
        </w:rPr>
        <w:t xml:space="preserve"> </w:t>
      </w:r>
      <w:r w:rsidRPr="00531E5E">
        <w:rPr>
          <w:rFonts w:ascii="Times New Roman" w:eastAsia="Calibri" w:hAnsi="Times New Roman" w:cs="Times New Roman"/>
          <w:sz w:val="24"/>
        </w:rPr>
        <w:t xml:space="preserve">respectfully requests that you reconsider this claim and require payment to be made to </w:t>
      </w:r>
      <w:r w:rsidRPr="00531E5E">
        <w:rPr>
          <w:rFonts w:ascii="Times New Roman" w:eastAsia="Calibri" w:hAnsi="Times New Roman" w:cs="Times New Roman"/>
          <w:sz w:val="24"/>
          <w:szCs w:val="24"/>
        </w:rPr>
        <w:fldChar w:fldCharType="begin"/>
      </w:r>
      <w:r w:rsidRPr="00531E5E">
        <w:rPr>
          <w:rFonts w:ascii="Times New Roman" w:eastAsia="Calibri" w:hAnsi="Times New Roman" w:cs="Times New Roman"/>
          <w:sz w:val="24"/>
          <w:szCs w:val="24"/>
        </w:rPr>
        <w:instrText xml:space="preserve"> MERGEFIELD Facility </w:instrText>
      </w:r>
      <w:r w:rsidRPr="00531E5E">
        <w:rPr>
          <w:rFonts w:ascii="Times New Roman" w:eastAsia="Calibri" w:hAnsi="Times New Roman" w:cs="Times New Roman"/>
          <w:sz w:val="24"/>
          <w:szCs w:val="24"/>
        </w:rPr>
        <w:fldChar w:fldCharType="separate"/>
      </w:r>
      <w:r w:rsidRPr="00531E5E">
        <w:rPr>
          <w:rFonts w:ascii="Times New Roman" w:eastAsia="Calibri" w:hAnsi="Times New Roman" w:cs="Times New Roman"/>
          <w:noProof/>
          <w:sz w:val="24"/>
          <w:szCs w:val="24"/>
        </w:rPr>
        <w:t>«Facility»</w:t>
      </w:r>
      <w:r w:rsidRPr="00531E5E">
        <w:rPr>
          <w:rFonts w:ascii="Times New Roman" w:eastAsia="Calibri" w:hAnsi="Times New Roman" w:cs="Times New Roman"/>
          <w:sz w:val="24"/>
          <w:szCs w:val="24"/>
        </w:rPr>
        <w:fldChar w:fldCharType="end"/>
      </w:r>
      <w:r w:rsidRPr="00531E5E">
        <w:rPr>
          <w:rFonts w:ascii="Times New Roman" w:eastAsia="Calibri" w:hAnsi="Times New Roman" w:cs="Times New Roman"/>
          <w:sz w:val="24"/>
          <w:szCs w:val="24"/>
        </w:rPr>
        <w:t xml:space="preserve"> </w:t>
      </w:r>
      <w:r w:rsidRPr="00531E5E">
        <w:rPr>
          <w:rFonts w:ascii="Times New Roman" w:eastAsia="Calibri" w:hAnsi="Times New Roman" w:cs="Times New Roman"/>
          <w:sz w:val="24"/>
        </w:rPr>
        <w:t xml:space="preserve">for the services provided to </w:t>
      </w:r>
      <w:r w:rsidRPr="00531E5E">
        <w:rPr>
          <w:rFonts w:ascii="Times New Roman" w:eastAsia="Calibri" w:hAnsi="Times New Roman" w:cs="Times New Roman"/>
          <w:sz w:val="24"/>
        </w:rPr>
        <w:fldChar w:fldCharType="begin"/>
      </w:r>
      <w:r w:rsidRPr="00531E5E">
        <w:rPr>
          <w:rFonts w:ascii="Times New Roman" w:eastAsia="Calibri" w:hAnsi="Times New Roman" w:cs="Times New Roman"/>
          <w:sz w:val="24"/>
        </w:rPr>
        <w:instrText xml:space="preserve"> MERGEFIELD </w:instrText>
      </w:r>
      <w:r w:rsidRPr="00531E5E">
        <w:rPr>
          <w:rFonts w:ascii="Times New Roman" w:eastAsia="Calibri" w:hAnsi="Times New Roman" w:cs="Times New Roman"/>
          <w:bCs/>
          <w:sz w:val="24"/>
          <w:lang w:bidi="en-US"/>
        </w:rPr>
        <w:instrText>PAT_Full_Name</w:instrText>
      </w:r>
      <w:r w:rsidRPr="00531E5E">
        <w:rPr>
          <w:rFonts w:ascii="Times New Roman" w:eastAsia="Calibri" w:hAnsi="Times New Roman" w:cs="Times New Roman"/>
          <w:sz w:val="24"/>
        </w:rPr>
        <w:instrText xml:space="preserve"> </w:instrText>
      </w:r>
      <w:r w:rsidRPr="00531E5E">
        <w:rPr>
          <w:rFonts w:ascii="Times New Roman" w:eastAsia="Calibri" w:hAnsi="Times New Roman" w:cs="Times New Roman"/>
          <w:sz w:val="24"/>
        </w:rPr>
        <w:fldChar w:fldCharType="separate"/>
      </w:r>
      <w:r w:rsidRPr="00531E5E">
        <w:rPr>
          <w:rFonts w:ascii="Times New Roman" w:eastAsia="Calibri" w:hAnsi="Times New Roman" w:cs="Times New Roman"/>
          <w:noProof/>
          <w:sz w:val="24"/>
        </w:rPr>
        <w:t>«PAT_Full_Name»</w:t>
      </w:r>
      <w:r w:rsidRPr="00531E5E">
        <w:rPr>
          <w:rFonts w:ascii="Times New Roman" w:eastAsia="Calibri" w:hAnsi="Times New Roman" w:cs="Times New Roman"/>
          <w:sz w:val="24"/>
        </w:rPr>
        <w:fldChar w:fldCharType="end"/>
      </w:r>
      <w:r w:rsidRPr="00531E5E">
        <w:rPr>
          <w:rFonts w:ascii="Times New Roman" w:eastAsia="Calibri" w:hAnsi="Times New Roman" w:cs="Times New Roman"/>
          <w:sz w:val="24"/>
        </w:rPr>
        <w:t xml:space="preserve"> in this case.</w:t>
      </w:r>
      <w:bookmarkEnd w:id="4"/>
    </w:p>
    <w:p w14:paraId="5B89F392" w14:textId="77777777" w:rsidR="00061DFA" w:rsidRPr="00061DFA" w:rsidRDefault="00061DFA" w:rsidP="00061DFA">
      <w:pPr>
        <w:spacing w:after="0" w:line="240" w:lineRule="auto"/>
        <w:rPr>
          <w:rFonts w:ascii="Times New Roman" w:eastAsia="Calibri" w:hAnsi="Times New Roman" w:cs="Times New Roman"/>
          <w:sz w:val="24"/>
        </w:rPr>
      </w:pPr>
      <w:r w:rsidRPr="00061DFA">
        <w:rPr>
          <w:rFonts w:ascii="Times New Roman" w:eastAsia="Calibri" w:hAnsi="Times New Roman" w:cs="Times New Roman"/>
          <w:sz w:val="24"/>
        </w:rPr>
        <w:t>I appreciate your attention to this matter and invite you to contact me should you have any questions.</w:t>
      </w:r>
    </w:p>
    <w:p w14:paraId="5652174E" w14:textId="77777777" w:rsidR="00061DFA" w:rsidRPr="00061DFA" w:rsidRDefault="00061DFA" w:rsidP="00061DFA">
      <w:pPr>
        <w:spacing w:after="0" w:line="240" w:lineRule="auto"/>
        <w:rPr>
          <w:rFonts w:ascii="Times New Roman" w:eastAsia="Calibri" w:hAnsi="Times New Roman" w:cs="Times New Roman"/>
          <w:sz w:val="24"/>
        </w:rPr>
      </w:pPr>
    </w:p>
    <w:p w14:paraId="2655016D" w14:textId="77777777" w:rsidR="00061DFA" w:rsidRPr="00061DFA" w:rsidRDefault="00061DFA" w:rsidP="00061DFA">
      <w:pPr>
        <w:spacing w:after="0" w:line="240" w:lineRule="auto"/>
        <w:rPr>
          <w:rFonts w:ascii="Times New Roman" w:eastAsia="Calibri" w:hAnsi="Times New Roman" w:cs="Times New Roman"/>
          <w:sz w:val="24"/>
        </w:rPr>
      </w:pPr>
      <w:r w:rsidRPr="00061DFA">
        <w:rPr>
          <w:rFonts w:ascii="Times New Roman" w:eastAsia="Calibri" w:hAnsi="Times New Roman" w:cs="Times New Roman"/>
          <w:sz w:val="24"/>
        </w:rPr>
        <w:t>Respectfully,</w:t>
      </w:r>
    </w:p>
    <w:p w14:paraId="26247044" w14:textId="77777777" w:rsidR="00061DFA" w:rsidRPr="00061DFA" w:rsidRDefault="00061DFA" w:rsidP="00061DFA">
      <w:pPr>
        <w:spacing w:after="0" w:line="240" w:lineRule="auto"/>
        <w:rPr>
          <w:rFonts w:ascii="Times New Roman" w:eastAsia="Calibri" w:hAnsi="Times New Roman" w:cs="Times New Roman"/>
          <w:noProof/>
          <w:sz w:val="24"/>
        </w:rPr>
      </w:pPr>
    </w:p>
    <w:p w14:paraId="5EF3A6FC" w14:textId="77777777" w:rsidR="00061DFA" w:rsidRPr="00061DFA" w:rsidRDefault="00061DFA" w:rsidP="00061DFA">
      <w:pPr>
        <w:spacing w:after="0" w:line="240" w:lineRule="auto"/>
        <w:rPr>
          <w:rFonts w:ascii="Times New Roman" w:eastAsia="Calibri" w:hAnsi="Times New Roman" w:cs="Times New Roman"/>
          <w:noProof/>
          <w:sz w:val="24"/>
        </w:rPr>
      </w:pPr>
      <w:r w:rsidRPr="00061DFA">
        <w:rPr>
          <w:rFonts w:ascii="Times New Roman" w:eastAsia="Calibri" w:hAnsi="Times New Roman" w:cs="Times New Roman"/>
          <w:noProof/>
          <w:sz w:val="24"/>
        </w:rPr>
        <w:t>Image_Signature</w:t>
      </w:r>
    </w:p>
    <w:p w14:paraId="4459F9EC" w14:textId="77777777" w:rsidR="00061DFA" w:rsidRPr="00061DFA" w:rsidRDefault="00061DFA" w:rsidP="00061DFA">
      <w:pPr>
        <w:spacing w:after="0" w:line="240" w:lineRule="auto"/>
        <w:rPr>
          <w:rFonts w:ascii="Times New Roman" w:eastAsia="Calibri" w:hAnsi="Times New Roman" w:cs="Times New Roman"/>
          <w:color w:val="1F497D"/>
          <w:sz w:val="18"/>
          <w:szCs w:val="18"/>
        </w:rPr>
      </w:pPr>
    </w:p>
    <w:p w14:paraId="4AD5AD8C" w14:textId="77777777" w:rsidR="00061DFA" w:rsidRPr="00061DFA" w:rsidRDefault="00061DFA" w:rsidP="00061DFA">
      <w:pPr>
        <w:spacing w:after="0" w:line="240" w:lineRule="auto"/>
        <w:rPr>
          <w:rFonts w:ascii="Times New Roman" w:eastAsia="Calibri" w:hAnsi="Times New Roman" w:cs="Times New Roman"/>
          <w:sz w:val="24"/>
          <w:szCs w:val="24"/>
        </w:rPr>
      </w:pP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Facility_Signature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«Facility_Signature»</w:t>
      </w:r>
      <w:r w:rsidRPr="00061DFA">
        <w:rPr>
          <w:rFonts w:ascii="Times New Roman" w:eastAsia="Calibri" w:hAnsi="Times New Roman" w:cs="Times New Roman"/>
          <w:sz w:val="24"/>
          <w:szCs w:val="24"/>
        </w:rPr>
        <w:fldChar w:fldCharType="end"/>
      </w:r>
    </w:p>
    <w:p w14:paraId="026FB366" w14:textId="77777777" w:rsidR="00061DFA" w:rsidRPr="00061DFA" w:rsidRDefault="00061DFA" w:rsidP="00061DFA">
      <w:pPr>
        <w:spacing w:after="100" w:afterAutospacing="1" w:line="240" w:lineRule="auto"/>
        <w:rPr>
          <w:rFonts w:ascii="Times New Roman" w:eastAsia="Calibri" w:hAnsi="Times New Roman" w:cs="Times New Roman"/>
          <w:sz w:val="24"/>
        </w:rPr>
      </w:pPr>
    </w:p>
    <w:p w14:paraId="1241F3E0" w14:textId="77777777" w:rsidR="00061DFA" w:rsidRPr="00061DFA" w:rsidRDefault="00061DFA" w:rsidP="00061DFA">
      <w:pPr>
        <w:spacing w:after="0" w:line="240" w:lineRule="auto"/>
        <w:rPr>
          <w:rFonts w:ascii="Times New Roman" w:eastAsia="Calibri" w:hAnsi="Times New Roman" w:cs="Times New Roman"/>
          <w:sz w:val="24"/>
        </w:rPr>
      </w:pPr>
      <w:r w:rsidRPr="00061DFA">
        <w:rPr>
          <w:rFonts w:ascii="Times New Roman" w:eastAsia="Calibri" w:hAnsi="Times New Roman" w:cs="Times New Roman"/>
          <w:sz w:val="24"/>
        </w:rPr>
        <w:lastRenderedPageBreak/>
        <w:t>Submitted with the authority of the Provider,</w:t>
      </w:r>
    </w:p>
    <w:p w14:paraId="0735851D" w14:textId="77777777" w:rsidR="00061DFA" w:rsidRPr="00061DFA" w:rsidRDefault="00061DFA" w:rsidP="00061DFA">
      <w:pPr>
        <w:spacing w:after="0" w:line="240" w:lineRule="auto"/>
        <w:rPr>
          <w:rFonts w:ascii="Times New Roman" w:eastAsia="Calibri" w:hAnsi="Times New Roman" w:cs="Times New Roman"/>
          <w:color w:val="000000"/>
          <w:sz w:val="24"/>
        </w:rPr>
      </w:pPr>
    </w:p>
    <w:p w14:paraId="2B405E83" w14:textId="77777777" w:rsidR="00061DFA" w:rsidRPr="00061DFA" w:rsidRDefault="00061DFA" w:rsidP="00061DFA">
      <w:pPr>
        <w:spacing w:after="0" w:line="240" w:lineRule="auto"/>
        <w:rPr>
          <w:rFonts w:ascii="Times New Roman" w:eastAsia="Calibri" w:hAnsi="Times New Roman" w:cs="Times New Roman"/>
          <w:b/>
          <w:sz w:val="24"/>
          <w:szCs w:val="24"/>
        </w:rPr>
      </w:pPr>
      <w:r w:rsidRPr="00061DFA">
        <w:rPr>
          <w:rFonts w:ascii="Times New Roman" w:eastAsia="Calibri" w:hAnsi="Times New Roman" w:cs="Times New Roman"/>
          <w:b/>
          <w:sz w:val="24"/>
          <w:szCs w:val="24"/>
        </w:rPr>
        <w:t>Please return all correspondence to:</w:t>
      </w:r>
    </w:p>
    <w:p w14:paraId="5F768B2C" w14:textId="77777777" w:rsidR="00061DFA" w:rsidRPr="00061DFA" w:rsidRDefault="00061DFA" w:rsidP="00061DFA">
      <w:pPr>
        <w:spacing w:after="0" w:line="240" w:lineRule="auto"/>
        <w:rPr>
          <w:rFonts w:ascii="Times New Roman" w:eastAsia="Calibri" w:hAnsi="Times New Roman" w:cs="Times New Roman"/>
          <w:sz w:val="24"/>
          <w:szCs w:val="24"/>
        </w:rPr>
      </w:pPr>
    </w:p>
    <w:p w14:paraId="61C6110A" w14:textId="77777777" w:rsidR="00061DFA" w:rsidRPr="00061DFA" w:rsidRDefault="00061DFA" w:rsidP="00061DFA">
      <w:pPr>
        <w:spacing w:after="0" w:line="240" w:lineRule="auto"/>
        <w:rPr>
          <w:rFonts w:ascii="Times New Roman" w:eastAsia="Calibri" w:hAnsi="Times New Roman" w:cs="Times New Roman"/>
          <w:sz w:val="24"/>
          <w:szCs w:val="24"/>
        </w:rPr>
      </w:pP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w:instrText>
      </w:r>
      <w:r w:rsidRPr="00061DFA">
        <w:rPr>
          <w:rFonts w:ascii="Calibri,Bold" w:eastAsia="Calibri" w:hAnsi="Calibri,Bold" w:cs="Calibri,Bold"/>
          <w:b/>
          <w:bCs/>
        </w:rPr>
        <w:instrText>Facility_Description</w:instrText>
      </w:r>
      <w:r w:rsidRPr="00061DFA">
        <w:rPr>
          <w:rFonts w:ascii="Times New Roman" w:eastAsia="Calibri" w:hAnsi="Times New Roman" w:cs="Times New Roman"/>
          <w:sz w:val="24"/>
          <w:szCs w:val="24"/>
        </w:rPr>
        <w:instrText xml:space="preserve">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«Facility_Description»</w:t>
      </w:r>
      <w:r w:rsidRPr="00061DFA">
        <w:rPr>
          <w:rFonts w:ascii="Times New Roman" w:eastAsia="Calibri" w:hAnsi="Times New Roman" w:cs="Times New Roman"/>
          <w:sz w:val="24"/>
          <w:szCs w:val="24"/>
        </w:rPr>
        <w:fldChar w:fldCharType="end"/>
      </w:r>
    </w:p>
    <w:p w14:paraId="0688A8B8" w14:textId="77777777" w:rsidR="00061DFA" w:rsidRPr="00061DFA" w:rsidRDefault="00061DFA" w:rsidP="00061DFA">
      <w:pPr>
        <w:spacing w:after="0" w:line="240" w:lineRule="auto"/>
        <w:rPr>
          <w:rFonts w:ascii="Times New Roman" w:eastAsia="Calibri" w:hAnsi="Times New Roman" w:cs="Times New Roman"/>
          <w:sz w:val="24"/>
          <w:szCs w:val="24"/>
        </w:rPr>
      </w:pPr>
    </w:p>
    <w:p w14:paraId="43BD4687" w14:textId="77777777" w:rsidR="00061DFA" w:rsidRPr="00061DFA" w:rsidRDefault="00061DFA" w:rsidP="00061DFA">
      <w:pPr>
        <w:spacing w:after="0" w:line="240" w:lineRule="auto"/>
        <w:rPr>
          <w:rFonts w:ascii="Times New Roman" w:eastAsia="Calibri" w:hAnsi="Times New Roman" w:cs="Times New Roman"/>
          <w:sz w:val="24"/>
          <w:szCs w:val="24"/>
        </w:rPr>
      </w:pPr>
      <w:r w:rsidRPr="00061DFA">
        <w:rPr>
          <w:rFonts w:ascii="Times New Roman" w:eastAsia="Calibri" w:hAnsi="Times New Roman" w:cs="Times New Roman"/>
          <w:sz w:val="24"/>
          <w:szCs w:val="24"/>
        </w:rPr>
        <w:t xml:space="preserve">NPI: </w:t>
      </w: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w:instrText>
      </w:r>
      <w:r w:rsidRPr="00061DFA">
        <w:rPr>
          <w:rFonts w:ascii="Times New Roman" w:eastAsia="Calibri" w:hAnsi="Times New Roman" w:cs="Times New Roman"/>
          <w:bCs/>
          <w:sz w:val="24"/>
          <w:szCs w:val="24"/>
          <w:lang w:bidi="en-US"/>
        </w:rPr>
        <w:instrText>Facility_NPI</w:instrText>
      </w:r>
      <w:r w:rsidRPr="00061DFA">
        <w:rPr>
          <w:rFonts w:ascii="Times New Roman" w:eastAsia="Calibri" w:hAnsi="Times New Roman" w:cs="Times New Roman"/>
          <w:sz w:val="24"/>
          <w:szCs w:val="24"/>
        </w:rPr>
        <w:instrText xml:space="preserve">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«Facility_NPI»</w:t>
      </w:r>
      <w:r w:rsidRPr="00061DFA">
        <w:rPr>
          <w:rFonts w:ascii="Times New Roman" w:eastAsia="Calibri" w:hAnsi="Times New Roman" w:cs="Times New Roman"/>
          <w:sz w:val="24"/>
          <w:szCs w:val="24"/>
        </w:rPr>
        <w:fldChar w:fldCharType="end"/>
      </w:r>
    </w:p>
    <w:p w14:paraId="4F477EE9" w14:textId="77777777" w:rsidR="00061DFA" w:rsidRPr="00061DFA" w:rsidRDefault="00061DFA" w:rsidP="00061DFA">
      <w:pPr>
        <w:spacing w:after="0" w:line="240" w:lineRule="auto"/>
        <w:rPr>
          <w:rFonts w:ascii="Times New Roman" w:eastAsia="Calibri" w:hAnsi="Times New Roman" w:cs="Times New Roman"/>
          <w:sz w:val="24"/>
          <w:szCs w:val="24"/>
        </w:rPr>
      </w:pPr>
      <w:r w:rsidRPr="00061DFA">
        <w:rPr>
          <w:rFonts w:ascii="Times New Roman" w:eastAsia="Calibri" w:hAnsi="Times New Roman" w:cs="Times New Roman"/>
          <w:sz w:val="24"/>
          <w:szCs w:val="24"/>
        </w:rPr>
        <w:t xml:space="preserve">Tax ID: </w:t>
      </w: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w:instrText>
      </w:r>
      <w:r w:rsidRPr="00061DFA">
        <w:rPr>
          <w:rFonts w:ascii="Times New Roman" w:eastAsia="Calibri" w:hAnsi="Times New Roman" w:cs="Calibri"/>
          <w:bCs/>
          <w:sz w:val="24"/>
          <w:szCs w:val="24"/>
          <w:lang w:bidi="en-US"/>
        </w:rPr>
        <w:instrText>Facility_Tax_ID</w:instrText>
      </w:r>
      <w:r w:rsidRPr="00061DFA">
        <w:rPr>
          <w:rFonts w:ascii="Times New Roman" w:eastAsia="Calibri" w:hAnsi="Times New Roman" w:cs="Times New Roman"/>
          <w:sz w:val="24"/>
          <w:szCs w:val="24"/>
        </w:rPr>
        <w:instrText xml:space="preserve">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«Facility_Tax_ID»</w:t>
      </w:r>
      <w:r w:rsidRPr="00061DFA">
        <w:rPr>
          <w:rFonts w:ascii="Times New Roman" w:eastAsia="Calibri" w:hAnsi="Times New Roman" w:cs="Times New Roman"/>
          <w:sz w:val="24"/>
          <w:szCs w:val="24"/>
        </w:rPr>
        <w:fldChar w:fldCharType="end"/>
      </w:r>
    </w:p>
    <w:p w14:paraId="04DC90A2" w14:textId="77777777" w:rsidR="00061DFA" w:rsidRPr="00061DFA" w:rsidRDefault="00061DFA" w:rsidP="00061DFA">
      <w:pPr>
        <w:spacing w:after="0" w:line="240" w:lineRule="auto"/>
        <w:rPr>
          <w:rFonts w:ascii="Times New Roman" w:eastAsia="Calibri" w:hAnsi="Times New Roman" w:cs="Times New Roman"/>
          <w:sz w:val="24"/>
          <w:szCs w:val="24"/>
        </w:rPr>
      </w:pPr>
      <w:r w:rsidRPr="00061DFA">
        <w:rPr>
          <w:rFonts w:ascii="Times New Roman" w:eastAsia="Calibri" w:hAnsi="Times New Roman" w:cs="Times New Roman"/>
          <w:sz w:val="24"/>
          <w:szCs w:val="24"/>
        </w:rPr>
        <w:t xml:space="preserve">PTAN: </w:t>
      </w: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PTAN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«PTAN»</w:t>
      </w:r>
      <w:r w:rsidRPr="00061DFA">
        <w:rPr>
          <w:rFonts w:ascii="Times New Roman" w:eastAsia="Calibri" w:hAnsi="Times New Roman" w:cs="Times New Roman"/>
          <w:sz w:val="24"/>
          <w:szCs w:val="24"/>
        </w:rPr>
        <w:fldChar w:fldCharType="end"/>
      </w:r>
    </w:p>
    <w:p w14:paraId="0A4CBF45" w14:textId="55CA3DF9" w:rsidR="00620120" w:rsidRPr="00531E5E" w:rsidRDefault="00061DFA" w:rsidP="00531E5E">
      <w:pPr>
        <w:spacing w:after="0" w:line="240" w:lineRule="auto"/>
        <w:rPr>
          <w:rFonts w:ascii="Times New Roman" w:eastAsia="Calibri" w:hAnsi="Times New Roman" w:cs="Times New Roman"/>
          <w:sz w:val="24"/>
          <w:szCs w:val="24"/>
        </w:rPr>
      </w:pPr>
      <w:r w:rsidRPr="00BB223D">
        <w:rPr>
          <w:rFonts w:ascii="Times New Roman" w:eastAsia="Calibri" w:hAnsi="Times New Roman" w:cs="Times New Roman"/>
          <w:sz w:val="24"/>
          <w:szCs w:val="24"/>
        </w:rPr>
        <w:fldChar w:fldCharType="begin"/>
      </w:r>
      <w:r w:rsidRPr="00BB223D">
        <w:rPr>
          <w:rFonts w:ascii="Times New Roman" w:eastAsia="Calibri" w:hAnsi="Times New Roman" w:cs="Times New Roman"/>
          <w:sz w:val="24"/>
          <w:szCs w:val="24"/>
        </w:rPr>
        <w:instrText xml:space="preserve"> MERGEFIELD TableEnd:PATIENTINFO </w:instrText>
      </w:r>
      <w:r w:rsidRPr="00BB223D">
        <w:rPr>
          <w:rFonts w:ascii="Times New Roman" w:eastAsia="Calibri" w:hAnsi="Times New Roman" w:cs="Times New Roman"/>
          <w:sz w:val="24"/>
          <w:szCs w:val="24"/>
        </w:rPr>
        <w:fldChar w:fldCharType="separate"/>
      </w:r>
      <w:r w:rsidRPr="00BB223D">
        <w:rPr>
          <w:rFonts w:ascii="Times New Roman" w:eastAsia="Calibri" w:hAnsi="Times New Roman" w:cs="Times New Roman"/>
          <w:noProof/>
          <w:sz w:val="24"/>
          <w:szCs w:val="24"/>
        </w:rPr>
        <w:t>«TableEnd:PATIENTINFO»</w:t>
      </w:r>
      <w:r w:rsidRPr="00BB223D">
        <w:rPr>
          <w:rFonts w:ascii="Times New Roman" w:eastAsia="Calibri" w:hAnsi="Times New Roman" w:cs="Times New Roman"/>
          <w:sz w:val="24"/>
          <w:szCs w:val="24"/>
        </w:rPr>
        <w:fldChar w:fldCharType="end"/>
      </w:r>
    </w:p>
    <w:sectPr w:rsidR="00620120" w:rsidRPr="00531E5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17B07" w14:textId="77777777" w:rsidR="005D706B" w:rsidRDefault="005D706B" w:rsidP="00F93BA1">
      <w:pPr>
        <w:spacing w:after="0" w:line="240" w:lineRule="auto"/>
      </w:pPr>
      <w:r>
        <w:separator/>
      </w:r>
    </w:p>
  </w:endnote>
  <w:endnote w:type="continuationSeparator" w:id="0">
    <w:p w14:paraId="0A66A459" w14:textId="77777777" w:rsidR="005D706B" w:rsidRDefault="005D706B" w:rsidP="00F9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JoannaMT">
    <w:altName w:val="Cambria"/>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253818799"/>
      <w:docPartObj>
        <w:docPartGallery w:val="Page Numbers (Bottom of Page)"/>
        <w:docPartUnique/>
      </w:docPartObj>
    </w:sdtPr>
    <w:sdtEndPr>
      <w:rPr>
        <w:noProof/>
      </w:rPr>
    </w:sdtEndPr>
    <w:sdtContent>
      <w:p w14:paraId="5EF36A69" w14:textId="0B3B2E69" w:rsidR="00431DAC" w:rsidRPr="00431DAC" w:rsidRDefault="00431DAC">
        <w:pPr>
          <w:pStyle w:val="Footer"/>
          <w:jc w:val="right"/>
          <w:rPr>
            <w:rFonts w:ascii="Times New Roman" w:hAnsi="Times New Roman" w:cs="Times New Roman"/>
            <w:sz w:val="24"/>
            <w:szCs w:val="24"/>
          </w:rPr>
        </w:pPr>
        <w:r w:rsidRPr="00431DAC">
          <w:rPr>
            <w:rFonts w:ascii="Times New Roman" w:hAnsi="Times New Roman" w:cs="Times New Roman"/>
            <w:sz w:val="24"/>
            <w:szCs w:val="24"/>
          </w:rPr>
          <w:fldChar w:fldCharType="begin"/>
        </w:r>
        <w:r w:rsidRPr="00431DAC">
          <w:rPr>
            <w:rFonts w:ascii="Times New Roman" w:hAnsi="Times New Roman" w:cs="Times New Roman"/>
            <w:sz w:val="24"/>
            <w:szCs w:val="24"/>
          </w:rPr>
          <w:instrText xml:space="preserve"> PAGE   \* MERGEFORMAT </w:instrText>
        </w:r>
        <w:r w:rsidRPr="00431DAC">
          <w:rPr>
            <w:rFonts w:ascii="Times New Roman" w:hAnsi="Times New Roman" w:cs="Times New Roman"/>
            <w:sz w:val="24"/>
            <w:szCs w:val="24"/>
          </w:rPr>
          <w:fldChar w:fldCharType="separate"/>
        </w:r>
        <w:r w:rsidRPr="00431DAC">
          <w:rPr>
            <w:rFonts w:ascii="Times New Roman" w:hAnsi="Times New Roman" w:cs="Times New Roman"/>
            <w:noProof/>
            <w:sz w:val="24"/>
            <w:szCs w:val="24"/>
          </w:rPr>
          <w:t>2</w:t>
        </w:r>
        <w:r w:rsidRPr="00431DAC">
          <w:rPr>
            <w:rFonts w:ascii="Times New Roman" w:hAnsi="Times New Roman" w:cs="Times New Roman"/>
            <w:noProof/>
            <w:sz w:val="24"/>
            <w:szCs w:val="24"/>
          </w:rPr>
          <w:fldChar w:fldCharType="end"/>
        </w:r>
      </w:p>
    </w:sdtContent>
  </w:sdt>
  <w:p w14:paraId="5CD6BDE4" w14:textId="76AB263E" w:rsidR="00431DAC" w:rsidRPr="00431DAC" w:rsidRDefault="00760CF3" w:rsidP="00760CF3">
    <w:pPr>
      <w:pStyle w:val="Footer"/>
      <w:rPr>
        <w:rFonts w:ascii="Times New Roman" w:hAnsi="Times New Roman" w:cs="Times New Roman"/>
        <w:sz w:val="24"/>
        <w:szCs w:val="24"/>
      </w:rPr>
    </w:pPr>
    <w:r w:rsidRPr="00760CF3">
      <w:rPr>
        <w:rFonts w:ascii="Times New Roman" w:hAnsi="Times New Roman" w:cs="Times New Roman"/>
        <w:sz w:val="24"/>
        <w:szCs w:val="24"/>
      </w:rPr>
      <w:fldChar w:fldCharType="begin"/>
    </w:r>
    <w:r w:rsidRPr="00760CF3">
      <w:rPr>
        <w:rFonts w:ascii="Times New Roman" w:hAnsi="Times New Roman" w:cs="Times New Roman"/>
        <w:sz w:val="24"/>
        <w:szCs w:val="24"/>
      </w:rPr>
      <w:instrText>MERGEFIELD TableStart:PATIENTINFO</w:instrText>
    </w:r>
    <w:r w:rsidRPr="00760CF3">
      <w:rPr>
        <w:rFonts w:ascii="Times New Roman" w:hAnsi="Times New Roman" w:cs="Times New Roman"/>
        <w:sz w:val="24"/>
        <w:szCs w:val="24"/>
      </w:rPr>
      <w:fldChar w:fldCharType="separate"/>
    </w:r>
    <w:r w:rsidRPr="00760CF3">
      <w:rPr>
        <w:rFonts w:ascii="Times New Roman" w:hAnsi="Times New Roman" w:cs="Times New Roman"/>
        <w:sz w:val="24"/>
        <w:szCs w:val="24"/>
      </w:rPr>
      <w:t>«TableStart:PATIENTINFO»</w:t>
    </w:r>
    <w:r w:rsidRPr="00760CF3">
      <w:rPr>
        <w:rFonts w:ascii="Times New Roman" w:hAnsi="Times New Roman" w:cs="Times New Roman"/>
        <w:sz w:val="24"/>
        <w:szCs w:val="24"/>
      </w:rPr>
      <w:fldChar w:fldCharType="end"/>
    </w:r>
    <w:r w:rsidRPr="00760CF3">
      <w:rPr>
        <w:rFonts w:ascii="Times New Roman" w:hAnsi="Times New Roman" w:cs="Times New Roman"/>
        <w:sz w:val="24"/>
        <w:szCs w:val="24"/>
      </w:rPr>
      <w:fldChar w:fldCharType="begin"/>
    </w:r>
    <w:r w:rsidRPr="00760CF3">
      <w:rPr>
        <w:rFonts w:ascii="Times New Roman" w:hAnsi="Times New Roman" w:cs="Times New Roman"/>
        <w:sz w:val="24"/>
        <w:szCs w:val="24"/>
      </w:rPr>
      <w:instrText>MERGEFIELD Current_Level</w:instrText>
    </w:r>
    <w:r w:rsidRPr="00760CF3">
      <w:rPr>
        <w:rFonts w:ascii="Times New Roman" w:hAnsi="Times New Roman" w:cs="Times New Roman"/>
        <w:sz w:val="24"/>
        <w:szCs w:val="24"/>
      </w:rPr>
      <w:fldChar w:fldCharType="separate"/>
    </w:r>
    <w:r w:rsidRPr="00760CF3">
      <w:rPr>
        <w:rFonts w:ascii="Times New Roman" w:hAnsi="Times New Roman" w:cs="Times New Roman"/>
        <w:sz w:val="24"/>
        <w:szCs w:val="24"/>
      </w:rPr>
      <w:t>«Current_Level»</w:t>
    </w:r>
    <w:r w:rsidRPr="00760CF3">
      <w:rPr>
        <w:rFonts w:ascii="Times New Roman" w:hAnsi="Times New Roman" w:cs="Times New Roman"/>
        <w:sz w:val="24"/>
        <w:szCs w:val="24"/>
      </w:rPr>
      <w:fldChar w:fldCharType="end"/>
    </w:r>
    <w:r w:rsidRPr="00760CF3">
      <w:rPr>
        <w:rFonts w:ascii="Times New Roman" w:hAnsi="Times New Roman" w:cs="Times New Roman"/>
        <w:sz w:val="24"/>
        <w:szCs w:val="24"/>
      </w:rPr>
      <w:t xml:space="preserve"> - </w:t>
    </w:r>
    <w:r w:rsidRPr="00760CF3">
      <w:rPr>
        <w:rFonts w:ascii="Times New Roman" w:hAnsi="Times New Roman" w:cs="Times New Roman"/>
        <w:sz w:val="24"/>
        <w:szCs w:val="24"/>
      </w:rPr>
      <w:fldChar w:fldCharType="begin"/>
    </w:r>
    <w:r w:rsidRPr="00760CF3">
      <w:rPr>
        <w:rFonts w:ascii="Times New Roman" w:hAnsi="Times New Roman" w:cs="Times New Roman"/>
        <w:sz w:val="24"/>
        <w:szCs w:val="24"/>
      </w:rPr>
      <w:instrText>MERGEFIELD PCN</w:instrText>
    </w:r>
    <w:r w:rsidRPr="00760CF3">
      <w:rPr>
        <w:rFonts w:ascii="Times New Roman" w:hAnsi="Times New Roman" w:cs="Times New Roman"/>
        <w:sz w:val="24"/>
        <w:szCs w:val="24"/>
      </w:rPr>
      <w:fldChar w:fldCharType="separate"/>
    </w:r>
    <w:r w:rsidRPr="00760CF3">
      <w:rPr>
        <w:rFonts w:ascii="Times New Roman" w:hAnsi="Times New Roman" w:cs="Times New Roman"/>
        <w:sz w:val="24"/>
        <w:szCs w:val="24"/>
      </w:rPr>
      <w:t>«PCN»</w:t>
    </w:r>
    <w:r w:rsidRPr="00760CF3">
      <w:rPr>
        <w:rFonts w:ascii="Times New Roman" w:hAnsi="Times New Roman" w:cs="Times New Roman"/>
        <w:sz w:val="24"/>
        <w:szCs w:val="24"/>
      </w:rPr>
      <w:fldChar w:fldCharType="end"/>
    </w:r>
    <w:r w:rsidRPr="00760CF3">
      <w:rPr>
        <w:rFonts w:ascii="Times New Roman" w:hAnsi="Times New Roman" w:cs="Times New Roman"/>
        <w:sz w:val="24"/>
        <w:szCs w:val="24"/>
      </w:rPr>
      <w:fldChar w:fldCharType="begin"/>
    </w:r>
    <w:r w:rsidRPr="00760CF3">
      <w:rPr>
        <w:rFonts w:ascii="Times New Roman" w:hAnsi="Times New Roman" w:cs="Times New Roman"/>
        <w:sz w:val="24"/>
        <w:szCs w:val="24"/>
      </w:rPr>
      <w:instrText>MERGEFIELD TableEnd:PATIENTINFO</w:instrText>
    </w:r>
    <w:r w:rsidRPr="00760CF3">
      <w:rPr>
        <w:rFonts w:ascii="Times New Roman" w:hAnsi="Times New Roman" w:cs="Times New Roman"/>
        <w:sz w:val="24"/>
        <w:szCs w:val="24"/>
      </w:rPr>
      <w:fldChar w:fldCharType="separate"/>
    </w:r>
    <w:r w:rsidRPr="00760CF3">
      <w:rPr>
        <w:rFonts w:ascii="Times New Roman" w:hAnsi="Times New Roman" w:cs="Times New Roman"/>
        <w:sz w:val="24"/>
        <w:szCs w:val="24"/>
      </w:rPr>
      <w:t>«TableEnd:PATIENTINFO»</w:t>
    </w:r>
    <w:r w:rsidRPr="00760CF3">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DA861" w14:textId="77777777" w:rsidR="005D706B" w:rsidRDefault="005D706B" w:rsidP="00F93BA1">
      <w:pPr>
        <w:spacing w:after="0" w:line="240" w:lineRule="auto"/>
      </w:pPr>
      <w:r>
        <w:separator/>
      </w:r>
    </w:p>
  </w:footnote>
  <w:footnote w:type="continuationSeparator" w:id="0">
    <w:p w14:paraId="161C53A2" w14:textId="77777777" w:rsidR="005D706B" w:rsidRDefault="005D706B" w:rsidP="00F93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3AB4"/>
    <w:multiLevelType w:val="hybridMultilevel"/>
    <w:tmpl w:val="57A6F506"/>
    <w:lvl w:ilvl="0" w:tplc="4D08A2D2">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5452E"/>
    <w:multiLevelType w:val="hybridMultilevel"/>
    <w:tmpl w:val="88F0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94FFE"/>
    <w:multiLevelType w:val="hybridMultilevel"/>
    <w:tmpl w:val="1E14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72AE1"/>
    <w:multiLevelType w:val="hybridMultilevel"/>
    <w:tmpl w:val="B9045A72"/>
    <w:lvl w:ilvl="0" w:tplc="04090003">
      <w:start w:val="1"/>
      <w:numFmt w:val="bullet"/>
      <w:lvlText w:val="o"/>
      <w:lvlJc w:val="left"/>
      <w:pPr>
        <w:ind w:left="2343" w:hanging="360"/>
      </w:pPr>
      <w:rPr>
        <w:rFonts w:ascii="Courier New" w:hAnsi="Courier New" w:cs="Courier New" w:hint="default"/>
      </w:rPr>
    </w:lvl>
    <w:lvl w:ilvl="1" w:tplc="04090003" w:tentative="1">
      <w:start w:val="1"/>
      <w:numFmt w:val="bullet"/>
      <w:lvlText w:val="o"/>
      <w:lvlJc w:val="left"/>
      <w:pPr>
        <w:ind w:left="3063" w:hanging="360"/>
      </w:pPr>
      <w:rPr>
        <w:rFonts w:ascii="Courier New" w:hAnsi="Courier New" w:cs="Courier New" w:hint="default"/>
      </w:rPr>
    </w:lvl>
    <w:lvl w:ilvl="2" w:tplc="04090005" w:tentative="1">
      <w:start w:val="1"/>
      <w:numFmt w:val="bullet"/>
      <w:lvlText w:val=""/>
      <w:lvlJc w:val="left"/>
      <w:pPr>
        <w:ind w:left="3783" w:hanging="360"/>
      </w:pPr>
      <w:rPr>
        <w:rFonts w:ascii="Wingdings" w:hAnsi="Wingdings" w:hint="default"/>
      </w:rPr>
    </w:lvl>
    <w:lvl w:ilvl="3" w:tplc="04090001" w:tentative="1">
      <w:start w:val="1"/>
      <w:numFmt w:val="bullet"/>
      <w:lvlText w:val=""/>
      <w:lvlJc w:val="left"/>
      <w:pPr>
        <w:ind w:left="4503" w:hanging="360"/>
      </w:pPr>
      <w:rPr>
        <w:rFonts w:ascii="Symbol" w:hAnsi="Symbol" w:hint="default"/>
      </w:rPr>
    </w:lvl>
    <w:lvl w:ilvl="4" w:tplc="04090003" w:tentative="1">
      <w:start w:val="1"/>
      <w:numFmt w:val="bullet"/>
      <w:lvlText w:val="o"/>
      <w:lvlJc w:val="left"/>
      <w:pPr>
        <w:ind w:left="5223" w:hanging="360"/>
      </w:pPr>
      <w:rPr>
        <w:rFonts w:ascii="Courier New" w:hAnsi="Courier New" w:cs="Courier New" w:hint="default"/>
      </w:rPr>
    </w:lvl>
    <w:lvl w:ilvl="5" w:tplc="04090005" w:tentative="1">
      <w:start w:val="1"/>
      <w:numFmt w:val="bullet"/>
      <w:lvlText w:val=""/>
      <w:lvlJc w:val="left"/>
      <w:pPr>
        <w:ind w:left="5943" w:hanging="360"/>
      </w:pPr>
      <w:rPr>
        <w:rFonts w:ascii="Wingdings" w:hAnsi="Wingdings" w:hint="default"/>
      </w:rPr>
    </w:lvl>
    <w:lvl w:ilvl="6" w:tplc="04090001" w:tentative="1">
      <w:start w:val="1"/>
      <w:numFmt w:val="bullet"/>
      <w:lvlText w:val=""/>
      <w:lvlJc w:val="left"/>
      <w:pPr>
        <w:ind w:left="6663" w:hanging="360"/>
      </w:pPr>
      <w:rPr>
        <w:rFonts w:ascii="Symbol" w:hAnsi="Symbol" w:hint="default"/>
      </w:rPr>
    </w:lvl>
    <w:lvl w:ilvl="7" w:tplc="04090003" w:tentative="1">
      <w:start w:val="1"/>
      <w:numFmt w:val="bullet"/>
      <w:lvlText w:val="o"/>
      <w:lvlJc w:val="left"/>
      <w:pPr>
        <w:ind w:left="7383" w:hanging="360"/>
      </w:pPr>
      <w:rPr>
        <w:rFonts w:ascii="Courier New" w:hAnsi="Courier New" w:cs="Courier New" w:hint="default"/>
      </w:rPr>
    </w:lvl>
    <w:lvl w:ilvl="8" w:tplc="04090005" w:tentative="1">
      <w:start w:val="1"/>
      <w:numFmt w:val="bullet"/>
      <w:lvlText w:val=""/>
      <w:lvlJc w:val="left"/>
      <w:pPr>
        <w:ind w:left="8103" w:hanging="360"/>
      </w:pPr>
      <w:rPr>
        <w:rFonts w:ascii="Wingdings" w:hAnsi="Wingdings" w:hint="default"/>
      </w:rPr>
    </w:lvl>
  </w:abstractNum>
  <w:abstractNum w:abstractNumId="4" w15:restartNumberingAfterBreak="0">
    <w:nsid w:val="114776CA"/>
    <w:multiLevelType w:val="hybridMultilevel"/>
    <w:tmpl w:val="C692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B5FBA"/>
    <w:multiLevelType w:val="hybridMultilevel"/>
    <w:tmpl w:val="511A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9667F"/>
    <w:multiLevelType w:val="hybridMultilevel"/>
    <w:tmpl w:val="CEFC3ED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A3F0667"/>
    <w:multiLevelType w:val="hybridMultilevel"/>
    <w:tmpl w:val="66FC6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F00472"/>
    <w:multiLevelType w:val="hybridMultilevel"/>
    <w:tmpl w:val="F278A008"/>
    <w:lvl w:ilvl="0" w:tplc="9A6A7400">
      <w:start w:val="8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7E5F7C"/>
    <w:multiLevelType w:val="hybridMultilevel"/>
    <w:tmpl w:val="D5747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F06D3D"/>
    <w:multiLevelType w:val="hybridMultilevel"/>
    <w:tmpl w:val="45506F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DD7DBB"/>
    <w:multiLevelType w:val="hybridMultilevel"/>
    <w:tmpl w:val="62E8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42598"/>
    <w:multiLevelType w:val="hybridMultilevel"/>
    <w:tmpl w:val="5554CA9A"/>
    <w:lvl w:ilvl="0" w:tplc="04090003">
      <w:start w:val="1"/>
      <w:numFmt w:val="bullet"/>
      <w:lvlText w:val="o"/>
      <w:lvlJc w:val="left"/>
      <w:pPr>
        <w:ind w:left="2411" w:hanging="360"/>
      </w:pPr>
      <w:rPr>
        <w:rFonts w:ascii="Courier New" w:hAnsi="Courier New" w:cs="Courier New" w:hint="default"/>
      </w:rPr>
    </w:lvl>
    <w:lvl w:ilvl="1" w:tplc="04090003">
      <w:start w:val="1"/>
      <w:numFmt w:val="bullet"/>
      <w:lvlText w:val="o"/>
      <w:lvlJc w:val="left"/>
      <w:pPr>
        <w:ind w:left="3131" w:hanging="360"/>
      </w:pPr>
      <w:rPr>
        <w:rFonts w:ascii="Courier New" w:hAnsi="Courier New" w:cs="Courier New" w:hint="default"/>
      </w:rPr>
    </w:lvl>
    <w:lvl w:ilvl="2" w:tplc="04090005" w:tentative="1">
      <w:start w:val="1"/>
      <w:numFmt w:val="bullet"/>
      <w:lvlText w:val=""/>
      <w:lvlJc w:val="left"/>
      <w:pPr>
        <w:ind w:left="3851" w:hanging="360"/>
      </w:pPr>
      <w:rPr>
        <w:rFonts w:ascii="Wingdings" w:hAnsi="Wingdings" w:hint="default"/>
      </w:rPr>
    </w:lvl>
    <w:lvl w:ilvl="3" w:tplc="04090001" w:tentative="1">
      <w:start w:val="1"/>
      <w:numFmt w:val="bullet"/>
      <w:lvlText w:val=""/>
      <w:lvlJc w:val="left"/>
      <w:pPr>
        <w:ind w:left="4571" w:hanging="360"/>
      </w:pPr>
      <w:rPr>
        <w:rFonts w:ascii="Symbol" w:hAnsi="Symbol" w:hint="default"/>
      </w:rPr>
    </w:lvl>
    <w:lvl w:ilvl="4" w:tplc="04090003" w:tentative="1">
      <w:start w:val="1"/>
      <w:numFmt w:val="bullet"/>
      <w:lvlText w:val="o"/>
      <w:lvlJc w:val="left"/>
      <w:pPr>
        <w:ind w:left="5291" w:hanging="360"/>
      </w:pPr>
      <w:rPr>
        <w:rFonts w:ascii="Courier New" w:hAnsi="Courier New" w:cs="Courier New" w:hint="default"/>
      </w:rPr>
    </w:lvl>
    <w:lvl w:ilvl="5" w:tplc="04090005" w:tentative="1">
      <w:start w:val="1"/>
      <w:numFmt w:val="bullet"/>
      <w:lvlText w:val=""/>
      <w:lvlJc w:val="left"/>
      <w:pPr>
        <w:ind w:left="6011" w:hanging="360"/>
      </w:pPr>
      <w:rPr>
        <w:rFonts w:ascii="Wingdings" w:hAnsi="Wingdings" w:hint="default"/>
      </w:rPr>
    </w:lvl>
    <w:lvl w:ilvl="6" w:tplc="04090001" w:tentative="1">
      <w:start w:val="1"/>
      <w:numFmt w:val="bullet"/>
      <w:lvlText w:val=""/>
      <w:lvlJc w:val="left"/>
      <w:pPr>
        <w:ind w:left="6731" w:hanging="360"/>
      </w:pPr>
      <w:rPr>
        <w:rFonts w:ascii="Symbol" w:hAnsi="Symbol" w:hint="default"/>
      </w:rPr>
    </w:lvl>
    <w:lvl w:ilvl="7" w:tplc="04090003" w:tentative="1">
      <w:start w:val="1"/>
      <w:numFmt w:val="bullet"/>
      <w:lvlText w:val="o"/>
      <w:lvlJc w:val="left"/>
      <w:pPr>
        <w:ind w:left="7451" w:hanging="360"/>
      </w:pPr>
      <w:rPr>
        <w:rFonts w:ascii="Courier New" w:hAnsi="Courier New" w:cs="Courier New" w:hint="default"/>
      </w:rPr>
    </w:lvl>
    <w:lvl w:ilvl="8" w:tplc="04090005" w:tentative="1">
      <w:start w:val="1"/>
      <w:numFmt w:val="bullet"/>
      <w:lvlText w:val=""/>
      <w:lvlJc w:val="left"/>
      <w:pPr>
        <w:ind w:left="8171" w:hanging="360"/>
      </w:pPr>
      <w:rPr>
        <w:rFonts w:ascii="Wingdings" w:hAnsi="Wingdings" w:hint="default"/>
      </w:rPr>
    </w:lvl>
  </w:abstractNum>
  <w:abstractNum w:abstractNumId="13" w15:restartNumberingAfterBreak="0">
    <w:nsid w:val="2DEE4842"/>
    <w:multiLevelType w:val="hybridMultilevel"/>
    <w:tmpl w:val="693E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A5A19"/>
    <w:multiLevelType w:val="hybridMultilevel"/>
    <w:tmpl w:val="2776392E"/>
    <w:lvl w:ilvl="0" w:tplc="0B342862">
      <w:start w:val="1"/>
      <w:numFmt w:val="decimal"/>
      <w:lvlText w:val="%1."/>
      <w:lvlJc w:val="left"/>
      <w:pPr>
        <w:ind w:left="810" w:hanging="360"/>
      </w:pPr>
      <w:rPr>
        <w:rFonts w:ascii="Times New Roman" w:hAnsi="Times New Roman" w:cs="Times New Roman" w:hint="default"/>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06352"/>
    <w:multiLevelType w:val="hybridMultilevel"/>
    <w:tmpl w:val="60BEE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685001"/>
    <w:multiLevelType w:val="hybridMultilevel"/>
    <w:tmpl w:val="1EF0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C6F64"/>
    <w:multiLevelType w:val="hybridMultilevel"/>
    <w:tmpl w:val="5D74AE50"/>
    <w:lvl w:ilvl="0" w:tplc="9D820F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A1E93"/>
    <w:multiLevelType w:val="hybridMultilevel"/>
    <w:tmpl w:val="5AA62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271A1C"/>
    <w:multiLevelType w:val="hybridMultilevel"/>
    <w:tmpl w:val="1D00F858"/>
    <w:lvl w:ilvl="0" w:tplc="04090001">
      <w:start w:val="1"/>
      <w:numFmt w:val="bullet"/>
      <w:lvlText w:val=""/>
      <w:lvlJc w:val="left"/>
      <w:pPr>
        <w:ind w:left="1566" w:hanging="360"/>
      </w:pPr>
      <w:rPr>
        <w:rFonts w:ascii="Symbol" w:hAnsi="Symbol"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20" w15:restartNumberingAfterBreak="0">
    <w:nsid w:val="45284346"/>
    <w:multiLevelType w:val="hybridMultilevel"/>
    <w:tmpl w:val="43A6A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B0466B"/>
    <w:multiLevelType w:val="hybridMultilevel"/>
    <w:tmpl w:val="386E3BE2"/>
    <w:lvl w:ilvl="0" w:tplc="F718F3E4">
      <w:start w:val="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45BD32B6"/>
    <w:multiLevelType w:val="hybridMultilevel"/>
    <w:tmpl w:val="B94E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C3750D"/>
    <w:multiLevelType w:val="hybridMultilevel"/>
    <w:tmpl w:val="86C0E432"/>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481C2B73"/>
    <w:multiLevelType w:val="hybridMultilevel"/>
    <w:tmpl w:val="28C6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E5D33"/>
    <w:multiLevelType w:val="hybridMultilevel"/>
    <w:tmpl w:val="D62E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37FF1"/>
    <w:multiLevelType w:val="hybridMultilevel"/>
    <w:tmpl w:val="0686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C6B9E"/>
    <w:multiLevelType w:val="hybridMultilevel"/>
    <w:tmpl w:val="CECE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A67BD7"/>
    <w:multiLevelType w:val="hybridMultilevel"/>
    <w:tmpl w:val="5B5AE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7F2086"/>
    <w:multiLevelType w:val="hybridMultilevel"/>
    <w:tmpl w:val="B7DE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C3E63"/>
    <w:multiLevelType w:val="hybridMultilevel"/>
    <w:tmpl w:val="833E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A04BC"/>
    <w:multiLevelType w:val="hybridMultilevel"/>
    <w:tmpl w:val="E72C4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B63FFD"/>
    <w:multiLevelType w:val="multilevel"/>
    <w:tmpl w:val="CB7A91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A7A0AFE"/>
    <w:multiLevelType w:val="hybridMultilevel"/>
    <w:tmpl w:val="F6408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A4D77"/>
    <w:multiLevelType w:val="hybridMultilevel"/>
    <w:tmpl w:val="A1E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36E78"/>
    <w:multiLevelType w:val="hybridMultilevel"/>
    <w:tmpl w:val="7434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113092">
    <w:abstractNumId w:val="17"/>
  </w:num>
  <w:num w:numId="2" w16cid:durableId="833841652">
    <w:abstractNumId w:val="13"/>
  </w:num>
  <w:num w:numId="3" w16cid:durableId="1745486842">
    <w:abstractNumId w:val="27"/>
  </w:num>
  <w:num w:numId="4" w16cid:durableId="730084700">
    <w:abstractNumId w:val="20"/>
  </w:num>
  <w:num w:numId="5" w16cid:durableId="856309624">
    <w:abstractNumId w:val="14"/>
  </w:num>
  <w:num w:numId="6" w16cid:durableId="2033140777">
    <w:abstractNumId w:val="18"/>
  </w:num>
  <w:num w:numId="7" w16cid:durableId="357051711">
    <w:abstractNumId w:val="7"/>
  </w:num>
  <w:num w:numId="8" w16cid:durableId="441534524">
    <w:abstractNumId w:val="2"/>
  </w:num>
  <w:num w:numId="9" w16cid:durableId="863324484">
    <w:abstractNumId w:val="35"/>
  </w:num>
  <w:num w:numId="10" w16cid:durableId="533351478">
    <w:abstractNumId w:val="19"/>
  </w:num>
  <w:num w:numId="11" w16cid:durableId="424225913">
    <w:abstractNumId w:val="12"/>
  </w:num>
  <w:num w:numId="12" w16cid:durableId="1867021094">
    <w:abstractNumId w:val="3"/>
  </w:num>
  <w:num w:numId="13" w16cid:durableId="1302492204">
    <w:abstractNumId w:val="9"/>
  </w:num>
  <w:num w:numId="14" w16cid:durableId="1390032949">
    <w:abstractNumId w:val="26"/>
  </w:num>
  <w:num w:numId="15" w16cid:durableId="1854107971">
    <w:abstractNumId w:val="28"/>
  </w:num>
  <w:num w:numId="16" w16cid:durableId="1687249830">
    <w:abstractNumId w:val="23"/>
  </w:num>
  <w:num w:numId="17" w16cid:durableId="867647552">
    <w:abstractNumId w:val="15"/>
  </w:num>
  <w:num w:numId="18" w16cid:durableId="845677525">
    <w:abstractNumId w:val="30"/>
  </w:num>
  <w:num w:numId="19" w16cid:durableId="894589982">
    <w:abstractNumId w:val="8"/>
  </w:num>
  <w:num w:numId="20" w16cid:durableId="1028412724">
    <w:abstractNumId w:val="1"/>
  </w:num>
  <w:num w:numId="21" w16cid:durableId="405885659">
    <w:abstractNumId w:val="11"/>
  </w:num>
  <w:num w:numId="22" w16cid:durableId="1588802977">
    <w:abstractNumId w:val="29"/>
  </w:num>
  <w:num w:numId="23" w16cid:durableId="1278026751">
    <w:abstractNumId w:val="31"/>
  </w:num>
  <w:num w:numId="24" w16cid:durableId="1197084082">
    <w:abstractNumId w:val="4"/>
  </w:num>
  <w:num w:numId="25" w16cid:durableId="2116288790">
    <w:abstractNumId w:val="24"/>
  </w:num>
  <w:num w:numId="26" w16cid:durableId="611673635">
    <w:abstractNumId w:val="21"/>
  </w:num>
  <w:num w:numId="27" w16cid:durableId="188836040">
    <w:abstractNumId w:val="10"/>
  </w:num>
  <w:num w:numId="28" w16cid:durableId="154691418">
    <w:abstractNumId w:val="0"/>
  </w:num>
  <w:num w:numId="29" w16cid:durableId="857816255">
    <w:abstractNumId w:val="6"/>
  </w:num>
  <w:num w:numId="30" w16cid:durableId="375551387">
    <w:abstractNumId w:val="5"/>
  </w:num>
  <w:num w:numId="31" w16cid:durableId="2123373490">
    <w:abstractNumId w:val="16"/>
  </w:num>
  <w:num w:numId="32" w16cid:durableId="1039860481">
    <w:abstractNumId w:val="22"/>
  </w:num>
  <w:num w:numId="33" w16cid:durableId="1135949295">
    <w:abstractNumId w:val="25"/>
  </w:num>
  <w:num w:numId="34" w16cid:durableId="1855723390">
    <w:abstractNumId w:val="34"/>
  </w:num>
  <w:num w:numId="35" w16cid:durableId="1569338363">
    <w:abstractNumId w:val="33"/>
  </w:num>
  <w:num w:numId="36" w16cid:durableId="433016907">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964"/>
    <w:rsid w:val="00010605"/>
    <w:rsid w:val="00013C6A"/>
    <w:rsid w:val="000242A3"/>
    <w:rsid w:val="000461EA"/>
    <w:rsid w:val="00061DFA"/>
    <w:rsid w:val="00067918"/>
    <w:rsid w:val="00075940"/>
    <w:rsid w:val="00086C15"/>
    <w:rsid w:val="00087A36"/>
    <w:rsid w:val="000A270B"/>
    <w:rsid w:val="000A7B62"/>
    <w:rsid w:val="000C035C"/>
    <w:rsid w:val="000C1F4D"/>
    <w:rsid w:val="000C475F"/>
    <w:rsid w:val="000C4C17"/>
    <w:rsid w:val="000D202E"/>
    <w:rsid w:val="000F01AE"/>
    <w:rsid w:val="00103169"/>
    <w:rsid w:val="00130F4F"/>
    <w:rsid w:val="001351C0"/>
    <w:rsid w:val="00154703"/>
    <w:rsid w:val="00165295"/>
    <w:rsid w:val="0017709C"/>
    <w:rsid w:val="001961FD"/>
    <w:rsid w:val="001976D6"/>
    <w:rsid w:val="001A7607"/>
    <w:rsid w:val="001B19A7"/>
    <w:rsid w:val="001B484C"/>
    <w:rsid w:val="001D5C9E"/>
    <w:rsid w:val="001E353D"/>
    <w:rsid w:val="00203A99"/>
    <w:rsid w:val="00224096"/>
    <w:rsid w:val="00226F45"/>
    <w:rsid w:val="0023657E"/>
    <w:rsid w:val="00245A96"/>
    <w:rsid w:val="002830CF"/>
    <w:rsid w:val="0028760A"/>
    <w:rsid w:val="0029712D"/>
    <w:rsid w:val="002A084E"/>
    <w:rsid w:val="002A1228"/>
    <w:rsid w:val="002A76B5"/>
    <w:rsid w:val="002D2FCA"/>
    <w:rsid w:val="002F4BE9"/>
    <w:rsid w:val="00332775"/>
    <w:rsid w:val="00332DAF"/>
    <w:rsid w:val="00343941"/>
    <w:rsid w:val="00354D7E"/>
    <w:rsid w:val="00363882"/>
    <w:rsid w:val="003825DD"/>
    <w:rsid w:val="003978A7"/>
    <w:rsid w:val="003D678F"/>
    <w:rsid w:val="003E4884"/>
    <w:rsid w:val="003F4927"/>
    <w:rsid w:val="003F6023"/>
    <w:rsid w:val="00413E61"/>
    <w:rsid w:val="00425101"/>
    <w:rsid w:val="00431DAC"/>
    <w:rsid w:val="0043223D"/>
    <w:rsid w:val="00433CB7"/>
    <w:rsid w:val="004346C5"/>
    <w:rsid w:val="004351D5"/>
    <w:rsid w:val="00445A8E"/>
    <w:rsid w:val="0045700C"/>
    <w:rsid w:val="004579D2"/>
    <w:rsid w:val="00462086"/>
    <w:rsid w:val="004621D9"/>
    <w:rsid w:val="0046361A"/>
    <w:rsid w:val="00472CE0"/>
    <w:rsid w:val="004730BD"/>
    <w:rsid w:val="004732BE"/>
    <w:rsid w:val="00493C80"/>
    <w:rsid w:val="004B3F80"/>
    <w:rsid w:val="004B3FE7"/>
    <w:rsid w:val="004C16B4"/>
    <w:rsid w:val="004D141A"/>
    <w:rsid w:val="004D5E68"/>
    <w:rsid w:val="004E3CC3"/>
    <w:rsid w:val="0050145A"/>
    <w:rsid w:val="005136C5"/>
    <w:rsid w:val="00531E5E"/>
    <w:rsid w:val="00534B21"/>
    <w:rsid w:val="0054788A"/>
    <w:rsid w:val="00552964"/>
    <w:rsid w:val="00552F6B"/>
    <w:rsid w:val="00560AA0"/>
    <w:rsid w:val="00564611"/>
    <w:rsid w:val="0056683F"/>
    <w:rsid w:val="005701F0"/>
    <w:rsid w:val="00591DD1"/>
    <w:rsid w:val="005A72BA"/>
    <w:rsid w:val="005B6CC1"/>
    <w:rsid w:val="005C1E15"/>
    <w:rsid w:val="005D706B"/>
    <w:rsid w:val="00606854"/>
    <w:rsid w:val="00620120"/>
    <w:rsid w:val="00643A2F"/>
    <w:rsid w:val="0064583E"/>
    <w:rsid w:val="00645BD3"/>
    <w:rsid w:val="00652E11"/>
    <w:rsid w:val="00661120"/>
    <w:rsid w:val="006617C1"/>
    <w:rsid w:val="006654CD"/>
    <w:rsid w:val="00666930"/>
    <w:rsid w:val="00683E85"/>
    <w:rsid w:val="006A0EDD"/>
    <w:rsid w:val="006B0985"/>
    <w:rsid w:val="006B7B57"/>
    <w:rsid w:val="006D6284"/>
    <w:rsid w:val="006E0826"/>
    <w:rsid w:val="006E38A9"/>
    <w:rsid w:val="006F0379"/>
    <w:rsid w:val="006F31F8"/>
    <w:rsid w:val="00704C83"/>
    <w:rsid w:val="007163CA"/>
    <w:rsid w:val="00721849"/>
    <w:rsid w:val="00740E10"/>
    <w:rsid w:val="00751966"/>
    <w:rsid w:val="00760CF3"/>
    <w:rsid w:val="0078261D"/>
    <w:rsid w:val="00782BB5"/>
    <w:rsid w:val="00784EA1"/>
    <w:rsid w:val="0078583D"/>
    <w:rsid w:val="007861E7"/>
    <w:rsid w:val="007A162D"/>
    <w:rsid w:val="007D66AD"/>
    <w:rsid w:val="007F2FC7"/>
    <w:rsid w:val="007F346C"/>
    <w:rsid w:val="007F3947"/>
    <w:rsid w:val="007F6D8D"/>
    <w:rsid w:val="00825582"/>
    <w:rsid w:val="00836DF5"/>
    <w:rsid w:val="00844AF3"/>
    <w:rsid w:val="00862D7E"/>
    <w:rsid w:val="00886948"/>
    <w:rsid w:val="00894578"/>
    <w:rsid w:val="008A3819"/>
    <w:rsid w:val="008A3C1F"/>
    <w:rsid w:val="008A6DDC"/>
    <w:rsid w:val="008B7203"/>
    <w:rsid w:val="008E4336"/>
    <w:rsid w:val="008F26EC"/>
    <w:rsid w:val="008F59F1"/>
    <w:rsid w:val="008F6B39"/>
    <w:rsid w:val="008F74A1"/>
    <w:rsid w:val="009050B4"/>
    <w:rsid w:val="0092117A"/>
    <w:rsid w:val="009214A8"/>
    <w:rsid w:val="00925CC1"/>
    <w:rsid w:val="009467C4"/>
    <w:rsid w:val="00953983"/>
    <w:rsid w:val="00967BF0"/>
    <w:rsid w:val="00974CB7"/>
    <w:rsid w:val="00991D88"/>
    <w:rsid w:val="00992504"/>
    <w:rsid w:val="009C56C3"/>
    <w:rsid w:val="009E5BCA"/>
    <w:rsid w:val="009F7CA4"/>
    <w:rsid w:val="00A04E76"/>
    <w:rsid w:val="00A0649C"/>
    <w:rsid w:val="00A11958"/>
    <w:rsid w:val="00A125E9"/>
    <w:rsid w:val="00A25CDF"/>
    <w:rsid w:val="00A35510"/>
    <w:rsid w:val="00A5628E"/>
    <w:rsid w:val="00A65D8E"/>
    <w:rsid w:val="00A67F89"/>
    <w:rsid w:val="00A81DFC"/>
    <w:rsid w:val="00A93F85"/>
    <w:rsid w:val="00AA10FD"/>
    <w:rsid w:val="00AA5148"/>
    <w:rsid w:val="00AB2DE6"/>
    <w:rsid w:val="00AE0B41"/>
    <w:rsid w:val="00AF63CD"/>
    <w:rsid w:val="00B03E8F"/>
    <w:rsid w:val="00B20DAE"/>
    <w:rsid w:val="00B219D9"/>
    <w:rsid w:val="00B27EC9"/>
    <w:rsid w:val="00B316BE"/>
    <w:rsid w:val="00B355EE"/>
    <w:rsid w:val="00B610CB"/>
    <w:rsid w:val="00B71DE9"/>
    <w:rsid w:val="00B80A3D"/>
    <w:rsid w:val="00B825B6"/>
    <w:rsid w:val="00BA7E53"/>
    <w:rsid w:val="00BB1C76"/>
    <w:rsid w:val="00BB223D"/>
    <w:rsid w:val="00BB457A"/>
    <w:rsid w:val="00BC3F0B"/>
    <w:rsid w:val="00BD5005"/>
    <w:rsid w:val="00BE2358"/>
    <w:rsid w:val="00BF247D"/>
    <w:rsid w:val="00C04139"/>
    <w:rsid w:val="00C34B4A"/>
    <w:rsid w:val="00C51A71"/>
    <w:rsid w:val="00C87F87"/>
    <w:rsid w:val="00C91175"/>
    <w:rsid w:val="00CB7D38"/>
    <w:rsid w:val="00CD0C33"/>
    <w:rsid w:val="00CD2B01"/>
    <w:rsid w:val="00CD4B3D"/>
    <w:rsid w:val="00CD6D70"/>
    <w:rsid w:val="00CE0CFE"/>
    <w:rsid w:val="00CE59CA"/>
    <w:rsid w:val="00D07B1D"/>
    <w:rsid w:val="00D158F1"/>
    <w:rsid w:val="00D20DEC"/>
    <w:rsid w:val="00D214A1"/>
    <w:rsid w:val="00D326A1"/>
    <w:rsid w:val="00D37205"/>
    <w:rsid w:val="00D529E1"/>
    <w:rsid w:val="00D85CC8"/>
    <w:rsid w:val="00D87D8E"/>
    <w:rsid w:val="00DB1C3D"/>
    <w:rsid w:val="00DB63E4"/>
    <w:rsid w:val="00DD44A8"/>
    <w:rsid w:val="00E11B1F"/>
    <w:rsid w:val="00E13224"/>
    <w:rsid w:val="00E70264"/>
    <w:rsid w:val="00E74C6B"/>
    <w:rsid w:val="00E75EEB"/>
    <w:rsid w:val="00E91568"/>
    <w:rsid w:val="00EA014A"/>
    <w:rsid w:val="00EA2332"/>
    <w:rsid w:val="00F00BF1"/>
    <w:rsid w:val="00F0467B"/>
    <w:rsid w:val="00F046A9"/>
    <w:rsid w:val="00F06A1F"/>
    <w:rsid w:val="00F07309"/>
    <w:rsid w:val="00F125D6"/>
    <w:rsid w:val="00F27496"/>
    <w:rsid w:val="00F3032B"/>
    <w:rsid w:val="00F333D8"/>
    <w:rsid w:val="00F47C99"/>
    <w:rsid w:val="00F53879"/>
    <w:rsid w:val="00F63255"/>
    <w:rsid w:val="00F658F4"/>
    <w:rsid w:val="00F81630"/>
    <w:rsid w:val="00F932EA"/>
    <w:rsid w:val="00F935B9"/>
    <w:rsid w:val="00F93BA1"/>
    <w:rsid w:val="00FA3982"/>
    <w:rsid w:val="00FB529B"/>
    <w:rsid w:val="00FB7C4A"/>
    <w:rsid w:val="00FD008E"/>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6D4C41"/>
  <w15:docId w15:val="{131EEB90-9DED-42A1-B963-A3B023EB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2964"/>
    <w:rPr>
      <w:sz w:val="16"/>
      <w:szCs w:val="16"/>
    </w:rPr>
  </w:style>
  <w:style w:type="paragraph" w:styleId="CommentText">
    <w:name w:val="annotation text"/>
    <w:basedOn w:val="Normal"/>
    <w:link w:val="CommentTextChar"/>
    <w:uiPriority w:val="99"/>
    <w:semiHidden/>
    <w:unhideWhenUsed/>
    <w:rsid w:val="00552964"/>
    <w:pPr>
      <w:spacing w:after="100" w:afterAutospacing="1"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552964"/>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55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64"/>
    <w:rPr>
      <w:rFonts w:ascii="Tahoma" w:hAnsi="Tahoma" w:cs="Tahoma"/>
      <w:sz w:val="16"/>
      <w:szCs w:val="16"/>
    </w:rPr>
  </w:style>
  <w:style w:type="paragraph" w:styleId="NoSpacing">
    <w:name w:val="No Spacing"/>
    <w:uiPriority w:val="1"/>
    <w:qFormat/>
    <w:rsid w:val="006B7B57"/>
    <w:pPr>
      <w:spacing w:after="0" w:line="240" w:lineRule="auto"/>
    </w:pPr>
    <w:rPr>
      <w:rFonts w:ascii="Times New Roman" w:hAnsi="Times New Roman"/>
      <w:sz w:val="24"/>
    </w:rPr>
  </w:style>
  <w:style w:type="paragraph" w:styleId="ListParagraph">
    <w:name w:val="List Paragraph"/>
    <w:basedOn w:val="Normal"/>
    <w:uiPriority w:val="34"/>
    <w:qFormat/>
    <w:rsid w:val="00087A36"/>
    <w:pPr>
      <w:ind w:left="720"/>
      <w:contextualSpacing/>
    </w:pPr>
  </w:style>
  <w:style w:type="character" w:styleId="Hyperlink">
    <w:name w:val="Hyperlink"/>
    <w:basedOn w:val="DefaultParagraphFont"/>
    <w:uiPriority w:val="99"/>
    <w:unhideWhenUsed/>
    <w:rsid w:val="006654CD"/>
    <w:rPr>
      <w:color w:val="0000FF" w:themeColor="hyperlink"/>
      <w:u w:val="single"/>
    </w:rPr>
  </w:style>
  <w:style w:type="paragraph" w:styleId="Header">
    <w:name w:val="header"/>
    <w:basedOn w:val="Normal"/>
    <w:link w:val="HeaderChar"/>
    <w:uiPriority w:val="99"/>
    <w:unhideWhenUsed/>
    <w:rsid w:val="00F93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BA1"/>
  </w:style>
  <w:style w:type="paragraph" w:styleId="Footer">
    <w:name w:val="footer"/>
    <w:basedOn w:val="Normal"/>
    <w:link w:val="FooterChar"/>
    <w:uiPriority w:val="99"/>
    <w:unhideWhenUsed/>
    <w:rsid w:val="00F93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BA1"/>
  </w:style>
  <w:style w:type="paragraph" w:styleId="CommentSubject">
    <w:name w:val="annotation subject"/>
    <w:basedOn w:val="CommentText"/>
    <w:next w:val="CommentText"/>
    <w:link w:val="CommentSubjectChar"/>
    <w:uiPriority w:val="99"/>
    <w:semiHidden/>
    <w:unhideWhenUsed/>
    <w:rsid w:val="00BD5005"/>
    <w:pPr>
      <w:spacing w:after="200" w:afterAutospacing="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5005"/>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FD008E"/>
    <w:rPr>
      <w:color w:val="605E5C"/>
      <w:shd w:val="clear" w:color="auto" w:fill="E1DFDD"/>
    </w:rPr>
  </w:style>
  <w:style w:type="paragraph" w:customStyle="1" w:styleId="NoSpacing1">
    <w:name w:val="No Spacing1"/>
    <w:uiPriority w:val="1"/>
    <w:qFormat/>
    <w:rsid w:val="004D141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382747">
      <w:bodyDiv w:val="1"/>
      <w:marLeft w:val="0"/>
      <w:marRight w:val="0"/>
      <w:marTop w:val="0"/>
      <w:marBottom w:val="0"/>
      <w:divBdr>
        <w:top w:val="none" w:sz="0" w:space="0" w:color="auto"/>
        <w:left w:val="none" w:sz="0" w:space="0" w:color="auto"/>
        <w:bottom w:val="none" w:sz="0" w:space="0" w:color="auto"/>
        <w:right w:val="none" w:sz="0" w:space="0" w:color="auto"/>
      </w:divBdr>
    </w:div>
    <w:div w:id="530727906">
      <w:bodyDiv w:val="1"/>
      <w:marLeft w:val="0"/>
      <w:marRight w:val="0"/>
      <w:marTop w:val="0"/>
      <w:marBottom w:val="0"/>
      <w:divBdr>
        <w:top w:val="none" w:sz="0" w:space="0" w:color="auto"/>
        <w:left w:val="none" w:sz="0" w:space="0" w:color="auto"/>
        <w:bottom w:val="none" w:sz="0" w:space="0" w:color="auto"/>
        <w:right w:val="none" w:sz="0" w:space="0" w:color="auto"/>
      </w:divBdr>
    </w:div>
    <w:div w:id="656736819">
      <w:bodyDiv w:val="1"/>
      <w:marLeft w:val="0"/>
      <w:marRight w:val="0"/>
      <w:marTop w:val="0"/>
      <w:marBottom w:val="0"/>
      <w:divBdr>
        <w:top w:val="none" w:sz="0" w:space="0" w:color="auto"/>
        <w:left w:val="none" w:sz="0" w:space="0" w:color="auto"/>
        <w:bottom w:val="none" w:sz="0" w:space="0" w:color="auto"/>
        <w:right w:val="none" w:sz="0" w:space="0" w:color="auto"/>
      </w:divBdr>
    </w:div>
    <w:div w:id="658119383">
      <w:bodyDiv w:val="1"/>
      <w:marLeft w:val="0"/>
      <w:marRight w:val="0"/>
      <w:marTop w:val="0"/>
      <w:marBottom w:val="0"/>
      <w:divBdr>
        <w:top w:val="none" w:sz="0" w:space="0" w:color="auto"/>
        <w:left w:val="none" w:sz="0" w:space="0" w:color="auto"/>
        <w:bottom w:val="none" w:sz="0" w:space="0" w:color="auto"/>
        <w:right w:val="none" w:sz="0" w:space="0" w:color="auto"/>
      </w:divBdr>
    </w:div>
    <w:div w:id="702171248">
      <w:bodyDiv w:val="1"/>
      <w:marLeft w:val="0"/>
      <w:marRight w:val="0"/>
      <w:marTop w:val="0"/>
      <w:marBottom w:val="0"/>
      <w:divBdr>
        <w:top w:val="none" w:sz="0" w:space="0" w:color="auto"/>
        <w:left w:val="none" w:sz="0" w:space="0" w:color="auto"/>
        <w:bottom w:val="none" w:sz="0" w:space="0" w:color="auto"/>
        <w:right w:val="none" w:sz="0" w:space="0" w:color="auto"/>
      </w:divBdr>
    </w:div>
    <w:div w:id="768475403">
      <w:bodyDiv w:val="1"/>
      <w:marLeft w:val="0"/>
      <w:marRight w:val="0"/>
      <w:marTop w:val="0"/>
      <w:marBottom w:val="0"/>
      <w:divBdr>
        <w:top w:val="none" w:sz="0" w:space="0" w:color="auto"/>
        <w:left w:val="none" w:sz="0" w:space="0" w:color="auto"/>
        <w:bottom w:val="none" w:sz="0" w:space="0" w:color="auto"/>
        <w:right w:val="none" w:sz="0" w:space="0" w:color="auto"/>
      </w:divBdr>
    </w:div>
    <w:div w:id="954403377">
      <w:bodyDiv w:val="1"/>
      <w:marLeft w:val="0"/>
      <w:marRight w:val="0"/>
      <w:marTop w:val="0"/>
      <w:marBottom w:val="0"/>
      <w:divBdr>
        <w:top w:val="none" w:sz="0" w:space="0" w:color="auto"/>
        <w:left w:val="none" w:sz="0" w:space="0" w:color="auto"/>
        <w:bottom w:val="none" w:sz="0" w:space="0" w:color="auto"/>
        <w:right w:val="none" w:sz="0" w:space="0" w:color="auto"/>
      </w:divBdr>
    </w:div>
    <w:div w:id="988631194">
      <w:bodyDiv w:val="1"/>
      <w:marLeft w:val="0"/>
      <w:marRight w:val="0"/>
      <w:marTop w:val="0"/>
      <w:marBottom w:val="0"/>
      <w:divBdr>
        <w:top w:val="none" w:sz="0" w:space="0" w:color="auto"/>
        <w:left w:val="none" w:sz="0" w:space="0" w:color="auto"/>
        <w:bottom w:val="none" w:sz="0" w:space="0" w:color="auto"/>
        <w:right w:val="none" w:sz="0" w:space="0" w:color="auto"/>
      </w:divBdr>
    </w:div>
    <w:div w:id="1590889207">
      <w:bodyDiv w:val="1"/>
      <w:marLeft w:val="0"/>
      <w:marRight w:val="0"/>
      <w:marTop w:val="0"/>
      <w:marBottom w:val="0"/>
      <w:divBdr>
        <w:top w:val="none" w:sz="0" w:space="0" w:color="auto"/>
        <w:left w:val="none" w:sz="0" w:space="0" w:color="auto"/>
        <w:bottom w:val="none" w:sz="0" w:space="0" w:color="auto"/>
        <w:right w:val="none" w:sz="0" w:space="0" w:color="auto"/>
      </w:divBdr>
      <w:divsChild>
        <w:div w:id="502672596">
          <w:marLeft w:val="0"/>
          <w:marRight w:val="0"/>
          <w:marTop w:val="0"/>
          <w:marBottom w:val="0"/>
          <w:divBdr>
            <w:top w:val="none" w:sz="0" w:space="0" w:color="auto"/>
            <w:left w:val="none" w:sz="0" w:space="0" w:color="auto"/>
            <w:bottom w:val="none" w:sz="0" w:space="0" w:color="auto"/>
            <w:right w:val="none" w:sz="0" w:space="0" w:color="auto"/>
          </w:divBdr>
          <w:divsChild>
            <w:div w:id="1448306012">
              <w:marLeft w:val="440"/>
              <w:marRight w:val="0"/>
              <w:marTop w:val="0"/>
              <w:marBottom w:val="0"/>
              <w:divBdr>
                <w:top w:val="none" w:sz="0" w:space="0" w:color="auto"/>
                <w:left w:val="none" w:sz="0" w:space="0" w:color="auto"/>
                <w:bottom w:val="none" w:sz="0" w:space="0" w:color="auto"/>
                <w:right w:val="none" w:sz="0" w:space="0" w:color="auto"/>
              </w:divBdr>
            </w:div>
          </w:divsChild>
        </w:div>
      </w:divsChild>
    </w:div>
    <w:div w:id="16494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07815/" TargetMode="External"/><Relationship Id="rId3" Type="http://schemas.openxmlformats.org/officeDocument/2006/relationships/settings" Target="settings.xml"/><Relationship Id="rId7" Type="http://schemas.openxmlformats.org/officeDocument/2006/relationships/hyperlink" Target="http://kdigo.org/home/guidelines/acute-kidney-inju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2804</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Hiravi</dc:creator>
  <cp:lastModifiedBy>Dana Langston</cp:lastModifiedBy>
  <cp:revision>6</cp:revision>
  <dcterms:created xsi:type="dcterms:W3CDTF">2024-12-02T21:46:00Z</dcterms:created>
  <dcterms:modified xsi:type="dcterms:W3CDTF">2024-12-12T20:18:00Z</dcterms:modified>
</cp:coreProperties>
</file>