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96481" w14:textId="16CDC1A1" w:rsidR="00101F6E" w:rsidRDefault="00E308C6" w:rsidP="005C3901">
      <w:pPr>
        <w:pStyle w:val="NoSpacing"/>
      </w:pPr>
      <w:r w:rsidRPr="002B27F3">
        <w:rPr>
          <w:szCs w:val="24"/>
        </w:rPr>
        <w:fldChar w:fldCharType="begin"/>
      </w:r>
      <w:r w:rsidRPr="002B27F3">
        <w:rPr>
          <w:szCs w:val="24"/>
        </w:rPr>
        <w:instrText xml:space="preserve"> MERGEFIELD TableStart:PATIENTINFO </w:instrText>
      </w:r>
      <w:r w:rsidRPr="002B27F3">
        <w:rPr>
          <w:szCs w:val="24"/>
        </w:rPr>
        <w:fldChar w:fldCharType="separate"/>
      </w:r>
      <w:r w:rsidRPr="002B27F3">
        <w:rPr>
          <w:szCs w:val="24"/>
        </w:rPr>
        <w:t>«</w:t>
      </w:r>
      <w:proofErr w:type="spellStart"/>
      <w:r w:rsidRPr="002B27F3">
        <w:rPr>
          <w:szCs w:val="24"/>
        </w:rPr>
        <w:t>TableStart:PATIENTINFO</w:t>
      </w:r>
      <w:proofErr w:type="spellEnd"/>
      <w:r w:rsidRPr="002B27F3">
        <w:rPr>
          <w:szCs w:val="24"/>
        </w:rPr>
        <w:t>»</w:t>
      </w:r>
      <w:r w:rsidRPr="002B27F3">
        <w:rPr>
          <w:szCs w:val="24"/>
        </w:rPr>
        <w:fldChar w:fldCharType="end"/>
      </w:r>
    </w:p>
    <w:tbl>
      <w:tblPr>
        <w:tblW w:w="9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6324"/>
      </w:tblGrid>
      <w:tr w:rsidR="006D5E35" w:rsidRPr="006D5E35" w14:paraId="65483439" w14:textId="77777777" w:rsidTr="0021506B">
        <w:trPr>
          <w:trHeight w:val="288"/>
        </w:trPr>
        <w:tc>
          <w:tcPr>
            <w:tcW w:w="1663" w:type="pct"/>
            <w:shd w:val="clear" w:color="auto" w:fill="D9D9D9"/>
            <w:vAlign w:val="center"/>
          </w:tcPr>
          <w:p w14:paraId="11B191C4" w14:textId="77777777" w:rsidR="006D5E35" w:rsidRPr="006D5E35" w:rsidRDefault="006D5E35" w:rsidP="005C3901">
            <w:pPr>
              <w:pStyle w:val="NoSpacing"/>
              <w:rPr>
                <w:b/>
              </w:rPr>
            </w:pPr>
            <w:r w:rsidRPr="006D5E35">
              <w:rPr>
                <w:b/>
              </w:rPr>
              <w:t>Beneficiary Name</w:t>
            </w:r>
          </w:p>
        </w:tc>
        <w:tc>
          <w:tcPr>
            <w:tcW w:w="3337" w:type="pct"/>
            <w:shd w:val="clear" w:color="auto" w:fill="auto"/>
            <w:vAlign w:val="center"/>
          </w:tcPr>
          <w:p w14:paraId="6431CB11" w14:textId="77777777" w:rsidR="006D5E35" w:rsidRPr="006D5E35" w:rsidRDefault="006D5E35" w:rsidP="005C3901">
            <w:pPr>
              <w:pStyle w:val="NoSpacing"/>
            </w:pPr>
            <w:r w:rsidRPr="006D5E35">
              <w:fldChar w:fldCharType="begin"/>
            </w:r>
            <w:r w:rsidRPr="006D5E35">
              <w:instrText xml:space="preserve"> MERGEFIELD </w:instrText>
            </w:r>
            <w:r w:rsidRPr="006D5E35">
              <w:rPr>
                <w:bCs/>
                <w:lang w:bidi="en-US"/>
              </w:rPr>
              <w:instrText>PAT_Full_Name</w:instrText>
            </w:r>
            <w:r w:rsidRPr="006D5E35">
              <w:instrText xml:space="preserve"> </w:instrText>
            </w:r>
            <w:r w:rsidRPr="006D5E35">
              <w:fldChar w:fldCharType="separate"/>
            </w:r>
            <w:r w:rsidRPr="006D5E35">
              <w:t>«</w:t>
            </w:r>
            <w:proofErr w:type="spellStart"/>
            <w:r w:rsidRPr="006D5E35">
              <w:t>PAT_Full_Name</w:t>
            </w:r>
            <w:proofErr w:type="spellEnd"/>
            <w:r w:rsidRPr="006D5E35">
              <w:t>»</w:t>
            </w:r>
            <w:r w:rsidRPr="006D5E35">
              <w:fldChar w:fldCharType="end"/>
            </w:r>
          </w:p>
        </w:tc>
      </w:tr>
      <w:tr w:rsidR="006D5E35" w:rsidRPr="006D5E35" w14:paraId="1B29EADF" w14:textId="77777777" w:rsidTr="0021506B">
        <w:trPr>
          <w:trHeight w:val="288"/>
        </w:trPr>
        <w:tc>
          <w:tcPr>
            <w:tcW w:w="1663" w:type="pct"/>
            <w:shd w:val="clear" w:color="auto" w:fill="D9D9D9"/>
            <w:vAlign w:val="center"/>
          </w:tcPr>
          <w:p w14:paraId="1E0861E0" w14:textId="77777777" w:rsidR="00FC4200" w:rsidRDefault="00FC4200" w:rsidP="00FC4200">
            <w:pPr>
              <w:pStyle w:val="NoSpacing"/>
              <w:rPr>
                <w:b/>
              </w:rPr>
            </w:pPr>
            <w:r>
              <w:rPr>
                <w:b/>
              </w:rPr>
              <w:t xml:space="preserve">Member ID or </w:t>
            </w:r>
          </w:p>
          <w:p w14:paraId="429F88D2" w14:textId="77777777" w:rsidR="006D5E35" w:rsidRPr="006D5E35" w:rsidRDefault="00FC4200" w:rsidP="00FC4200">
            <w:pPr>
              <w:pStyle w:val="NoSpacing"/>
              <w:rPr>
                <w:b/>
              </w:rPr>
            </w:pPr>
            <w:r>
              <w:rPr>
                <w:b/>
              </w:rPr>
              <w:t>MBI Number</w:t>
            </w:r>
          </w:p>
        </w:tc>
        <w:tc>
          <w:tcPr>
            <w:tcW w:w="3337" w:type="pct"/>
            <w:shd w:val="clear" w:color="auto" w:fill="auto"/>
            <w:vAlign w:val="center"/>
          </w:tcPr>
          <w:p w14:paraId="7D50ADD6" w14:textId="77777777" w:rsidR="006D5E35" w:rsidRPr="006D5E35" w:rsidRDefault="00F374AC" w:rsidP="005C3901">
            <w:pPr>
              <w:pStyle w:val="NoSpacing"/>
            </w:pPr>
            <w:r>
              <w:fldChar w:fldCharType="begin"/>
            </w:r>
            <w:r>
              <w:instrText xml:space="preserve"> MERGEFIELD MEMBER_ID </w:instrText>
            </w:r>
            <w:r>
              <w:fldChar w:fldCharType="separate"/>
            </w:r>
            <w:r w:rsidR="006D5E35" w:rsidRPr="006D5E35">
              <w:t>«MEMBER_ID»</w:t>
            </w:r>
            <w:r>
              <w:fldChar w:fldCharType="end"/>
            </w:r>
          </w:p>
        </w:tc>
      </w:tr>
      <w:tr w:rsidR="006D5E35" w:rsidRPr="006D5E35" w14:paraId="744265E7" w14:textId="77777777" w:rsidTr="0021506B">
        <w:trPr>
          <w:trHeight w:val="288"/>
        </w:trPr>
        <w:tc>
          <w:tcPr>
            <w:tcW w:w="1663" w:type="pct"/>
            <w:shd w:val="clear" w:color="auto" w:fill="D9D9D9"/>
            <w:vAlign w:val="center"/>
          </w:tcPr>
          <w:p w14:paraId="322437DE" w14:textId="77777777" w:rsidR="006D5E35" w:rsidRPr="006D5E35" w:rsidRDefault="006D5E35" w:rsidP="005C3901">
            <w:pPr>
              <w:pStyle w:val="NoSpacing"/>
              <w:rPr>
                <w:b/>
              </w:rPr>
            </w:pPr>
            <w:r w:rsidRPr="006D5E35">
              <w:rPr>
                <w:b/>
              </w:rPr>
              <w:t>Claim Dates of Service</w:t>
            </w:r>
          </w:p>
        </w:tc>
        <w:tc>
          <w:tcPr>
            <w:tcW w:w="3337" w:type="pct"/>
            <w:shd w:val="clear" w:color="auto" w:fill="auto"/>
            <w:vAlign w:val="center"/>
          </w:tcPr>
          <w:p w14:paraId="328004BC" w14:textId="77777777" w:rsidR="006D5E35" w:rsidRPr="006D5E35" w:rsidRDefault="00F374AC" w:rsidP="005C3901">
            <w:pPr>
              <w:pStyle w:val="NoSpacing"/>
              <w:rPr>
                <w:i/>
              </w:rPr>
            </w:pPr>
            <w:r>
              <w:fldChar w:fldCharType="begin"/>
            </w:r>
            <w:r>
              <w:instrText xml:space="preserve"> MERGEFIELD Svc_From </w:instrText>
            </w:r>
            <w:r>
              <w:fldChar w:fldCharType="separate"/>
            </w:r>
            <w:r w:rsidR="006D5E35" w:rsidRPr="006D5E35">
              <w:t>«</w:t>
            </w:r>
            <w:proofErr w:type="spellStart"/>
            <w:r w:rsidR="006D5E35" w:rsidRPr="006D5E35">
              <w:t>Svc_From</w:t>
            </w:r>
            <w:proofErr w:type="spellEnd"/>
            <w:r w:rsidR="006D5E35" w:rsidRPr="006D5E35">
              <w:t>»</w:t>
            </w:r>
            <w:r>
              <w:fldChar w:fldCharType="end"/>
            </w:r>
            <w:r w:rsidR="006D5E35" w:rsidRPr="006D5E35">
              <w:t xml:space="preserve"> - </w:t>
            </w:r>
            <w:r>
              <w:fldChar w:fldCharType="begin"/>
            </w:r>
            <w:r>
              <w:instrText xml:space="preserve"> MERGEFIELD Svc_To </w:instrText>
            </w:r>
            <w:r>
              <w:fldChar w:fldCharType="separate"/>
            </w:r>
            <w:r w:rsidR="006D5E35" w:rsidRPr="006D5E35">
              <w:t>«</w:t>
            </w:r>
            <w:proofErr w:type="spellStart"/>
            <w:r w:rsidR="006D5E35" w:rsidRPr="006D5E35">
              <w:t>Svc_To</w:t>
            </w:r>
            <w:proofErr w:type="spellEnd"/>
            <w:r w:rsidR="006D5E35" w:rsidRPr="006D5E35">
              <w:t>»</w:t>
            </w:r>
            <w:r>
              <w:fldChar w:fldCharType="end"/>
            </w:r>
          </w:p>
        </w:tc>
      </w:tr>
      <w:tr w:rsidR="006D5E35" w:rsidRPr="006D5E35" w14:paraId="5F415F89" w14:textId="77777777" w:rsidTr="0021506B">
        <w:trPr>
          <w:trHeight w:val="288"/>
        </w:trPr>
        <w:tc>
          <w:tcPr>
            <w:tcW w:w="1663" w:type="pct"/>
            <w:shd w:val="clear" w:color="auto" w:fill="D9D9D9"/>
            <w:vAlign w:val="center"/>
          </w:tcPr>
          <w:p w14:paraId="324C454E" w14:textId="77777777" w:rsidR="006D5E35" w:rsidRPr="006D5E35" w:rsidRDefault="006D5E35" w:rsidP="005C3901">
            <w:pPr>
              <w:pStyle w:val="NoSpacing"/>
              <w:rPr>
                <w:b/>
              </w:rPr>
            </w:pPr>
            <w:r w:rsidRPr="006D5E35">
              <w:rPr>
                <w:b/>
              </w:rPr>
              <w:t>Reason(s) for Denial</w:t>
            </w:r>
          </w:p>
        </w:tc>
        <w:tc>
          <w:tcPr>
            <w:tcW w:w="3337" w:type="pct"/>
            <w:shd w:val="clear" w:color="auto" w:fill="auto"/>
            <w:vAlign w:val="center"/>
          </w:tcPr>
          <w:p w14:paraId="330B9AE0" w14:textId="77777777" w:rsidR="006D5E35" w:rsidRPr="006D5E35" w:rsidRDefault="006D5E35" w:rsidP="005C3901">
            <w:pPr>
              <w:pStyle w:val="NoSpacing"/>
            </w:pPr>
            <w:r w:rsidRPr="006D5E35">
              <w:t>Allegation: Services provided not reasonable or medically necessary</w:t>
            </w:r>
          </w:p>
        </w:tc>
      </w:tr>
      <w:tr w:rsidR="006D5E35" w:rsidRPr="006D5E35" w14:paraId="11D9BBF7" w14:textId="77777777" w:rsidTr="0021506B">
        <w:trPr>
          <w:trHeight w:val="288"/>
        </w:trPr>
        <w:tc>
          <w:tcPr>
            <w:tcW w:w="1663" w:type="pct"/>
            <w:shd w:val="clear" w:color="auto" w:fill="D9D9D9"/>
          </w:tcPr>
          <w:p w14:paraId="69FAF4A4" w14:textId="77777777" w:rsidR="006D5E35" w:rsidRPr="006D5E35" w:rsidRDefault="006D5E35" w:rsidP="005C3901">
            <w:pPr>
              <w:pStyle w:val="NoSpacing"/>
              <w:rPr>
                <w:b/>
              </w:rPr>
            </w:pPr>
            <w:r w:rsidRPr="006D5E35">
              <w:rPr>
                <w:b/>
              </w:rPr>
              <w:t>Principal Diagnosis</w:t>
            </w:r>
          </w:p>
        </w:tc>
        <w:tc>
          <w:tcPr>
            <w:tcW w:w="3337" w:type="pct"/>
            <w:shd w:val="clear" w:color="auto" w:fill="auto"/>
          </w:tcPr>
          <w:p w14:paraId="5B882AAB" w14:textId="77777777" w:rsidR="006D5E35" w:rsidRPr="006D5E35" w:rsidRDefault="006D5E35" w:rsidP="005C3901">
            <w:pPr>
              <w:pStyle w:val="NoSpacing"/>
            </w:pPr>
          </w:p>
        </w:tc>
      </w:tr>
      <w:tr w:rsidR="006D5E35" w:rsidRPr="006D5E35" w14:paraId="3E081768" w14:textId="77777777" w:rsidTr="0021506B">
        <w:trPr>
          <w:trHeight w:val="288"/>
        </w:trPr>
        <w:tc>
          <w:tcPr>
            <w:tcW w:w="1663" w:type="pct"/>
            <w:shd w:val="clear" w:color="auto" w:fill="D9D9D9"/>
          </w:tcPr>
          <w:p w14:paraId="690C9E09" w14:textId="77777777" w:rsidR="006D5E35" w:rsidRPr="006D5E35" w:rsidRDefault="006D5E35" w:rsidP="005C3901">
            <w:pPr>
              <w:pStyle w:val="NoSpacing"/>
              <w:rPr>
                <w:b/>
              </w:rPr>
            </w:pPr>
            <w:r w:rsidRPr="006D5E35">
              <w:rPr>
                <w:b/>
              </w:rPr>
              <w:t>Comorbidities/Complicating Factors</w:t>
            </w:r>
          </w:p>
        </w:tc>
        <w:tc>
          <w:tcPr>
            <w:tcW w:w="3337" w:type="pct"/>
            <w:shd w:val="clear" w:color="auto" w:fill="auto"/>
          </w:tcPr>
          <w:p w14:paraId="2417BF06" w14:textId="77777777" w:rsidR="006D5E35" w:rsidRPr="006D5E35" w:rsidRDefault="006D5E35" w:rsidP="005C3901">
            <w:pPr>
              <w:pStyle w:val="NoSpacing"/>
            </w:pPr>
          </w:p>
        </w:tc>
      </w:tr>
      <w:tr w:rsidR="006D5E35" w:rsidRPr="006D5E35" w14:paraId="019C4346" w14:textId="77777777" w:rsidTr="0021506B">
        <w:trPr>
          <w:trHeight w:val="288"/>
        </w:trPr>
        <w:tc>
          <w:tcPr>
            <w:tcW w:w="1663" w:type="pct"/>
            <w:shd w:val="clear" w:color="auto" w:fill="D9D9D9"/>
          </w:tcPr>
          <w:p w14:paraId="5776BC88" w14:textId="77777777" w:rsidR="006D5E35" w:rsidRPr="006D5E35" w:rsidRDefault="006D5E35" w:rsidP="005C3901">
            <w:pPr>
              <w:pStyle w:val="NoSpacing"/>
              <w:rPr>
                <w:b/>
              </w:rPr>
            </w:pPr>
            <w:r w:rsidRPr="006D5E35">
              <w:rPr>
                <w:b/>
              </w:rPr>
              <w:t>Procedures</w:t>
            </w:r>
          </w:p>
        </w:tc>
        <w:tc>
          <w:tcPr>
            <w:tcW w:w="3337" w:type="pct"/>
            <w:shd w:val="clear" w:color="auto" w:fill="auto"/>
          </w:tcPr>
          <w:p w14:paraId="012B9FC0" w14:textId="77777777" w:rsidR="006D5E35" w:rsidRPr="006D5E35" w:rsidRDefault="006D5E35" w:rsidP="005C3901">
            <w:pPr>
              <w:pStyle w:val="NoSpacing"/>
            </w:pPr>
          </w:p>
        </w:tc>
      </w:tr>
    </w:tbl>
    <w:p w14:paraId="6C335A97" w14:textId="77777777" w:rsidR="00FB17BD" w:rsidRPr="002873AD" w:rsidRDefault="00FB17BD" w:rsidP="005C3901">
      <w:pPr>
        <w:pStyle w:val="NoSpacing"/>
      </w:pPr>
    </w:p>
    <w:p w14:paraId="09273B0B" w14:textId="77777777" w:rsidR="00C60CBC" w:rsidRPr="002128D4" w:rsidRDefault="00A1507F" w:rsidP="00A1507F">
      <w:pPr>
        <w:pStyle w:val="NoSpacing"/>
        <w:jc w:val="center"/>
        <w:rPr>
          <w:b/>
        </w:rPr>
      </w:pPr>
      <w:r w:rsidRPr="002128D4">
        <w:rPr>
          <w:b/>
        </w:rPr>
        <w:t xml:space="preserve">Clinical </w:t>
      </w:r>
      <w:r w:rsidR="00C60CBC" w:rsidRPr="002128D4">
        <w:rPr>
          <w:b/>
        </w:rPr>
        <w:t xml:space="preserve">Justification for </w:t>
      </w:r>
      <w:r w:rsidRPr="002128D4">
        <w:rPr>
          <w:b/>
        </w:rPr>
        <w:t>Inpatient Status</w:t>
      </w:r>
    </w:p>
    <w:p w14:paraId="4110DA9B" w14:textId="77777777" w:rsidR="00A1507F" w:rsidRPr="00C60CBC" w:rsidRDefault="00A1507F" w:rsidP="00A1507F">
      <w:pPr>
        <w:pStyle w:val="NoSpacing"/>
        <w:jc w:val="center"/>
      </w:pPr>
    </w:p>
    <w:p w14:paraId="5E778BC6" w14:textId="77777777" w:rsidR="002128D4" w:rsidRPr="002128D4" w:rsidRDefault="002128D4" w:rsidP="002128D4">
      <w:pPr>
        <w:spacing w:after="0" w:afterAutospacing="0"/>
      </w:pPr>
      <w:r w:rsidRPr="002128D4">
        <w:rPr>
          <w:rFonts w:eastAsia="Times New Roman"/>
          <w:color w:val="242424"/>
        </w:rPr>
        <w:t>The facts will show that care provided to this patient was medically necessary considering the totality of the member’s circumstances and was provided in accordance with appropriate clinical criteria, nationally recognized guidelines, and the payer’s policies.</w:t>
      </w:r>
    </w:p>
    <w:p w14:paraId="2B3A188D" w14:textId="77777777" w:rsidR="002128D4" w:rsidRPr="002128D4" w:rsidRDefault="002128D4" w:rsidP="002128D4">
      <w:pPr>
        <w:spacing w:after="0" w:afterAutospacing="0"/>
        <w:rPr>
          <w:rFonts w:eastAsia="Times New Roman"/>
          <w:color w:val="242424"/>
        </w:rPr>
      </w:pPr>
    </w:p>
    <w:p w14:paraId="6ECCA918" w14:textId="77777777" w:rsidR="002128D4" w:rsidRPr="002128D4" w:rsidRDefault="002128D4" w:rsidP="002128D4">
      <w:pPr>
        <w:spacing w:after="0" w:afterAutospacing="0"/>
        <w:rPr>
          <w:color w:val="FF0000"/>
          <w:szCs w:val="24"/>
        </w:rPr>
      </w:pPr>
      <w:r w:rsidRPr="002128D4">
        <w:fldChar w:fldCharType="begin"/>
      </w:r>
      <w:r w:rsidRPr="002128D4">
        <w:instrText xml:space="preserve"> MERGEFIELD </w:instrText>
      </w:r>
      <w:r w:rsidRPr="002128D4">
        <w:rPr>
          <w:bCs/>
          <w:lang w:bidi="en-US"/>
        </w:rPr>
        <w:instrText>PAT_Full_Name</w:instrText>
      </w:r>
      <w:r w:rsidRPr="002128D4">
        <w:instrText xml:space="preserve"> </w:instrText>
      </w:r>
      <w:r w:rsidRPr="002128D4">
        <w:fldChar w:fldCharType="separate"/>
      </w:r>
      <w:r w:rsidRPr="002128D4">
        <w:t>«</w:t>
      </w:r>
      <w:proofErr w:type="spellStart"/>
      <w:r w:rsidRPr="002128D4">
        <w:t>PAT_Full_Name</w:t>
      </w:r>
      <w:proofErr w:type="spellEnd"/>
      <w:r w:rsidRPr="002128D4">
        <w:t>»</w:t>
      </w:r>
      <w:r w:rsidRPr="002128D4">
        <w:fldChar w:fldCharType="end"/>
      </w:r>
      <w:r w:rsidRPr="002128D4">
        <w:t xml:space="preserve"> was a</w:t>
      </w:r>
      <w:r w:rsidRPr="002128D4">
        <w:rPr>
          <w:color w:val="FF0000"/>
        </w:rPr>
        <w:t xml:space="preserve"> XX</w:t>
      </w:r>
      <w:r w:rsidRPr="002128D4">
        <w:t>-year-old</w:t>
      </w:r>
      <w:r w:rsidRPr="002128D4">
        <w:rPr>
          <w:color w:val="FF0000"/>
        </w:rPr>
        <w:t xml:space="preserve"> lady/gentleman (avoid using the words patient or beneficiary) </w:t>
      </w:r>
      <w:r w:rsidRPr="002128D4">
        <w:t>with a medical history as outlined above.</w:t>
      </w:r>
      <w:r w:rsidRPr="002128D4">
        <w:rPr>
          <w:color w:val="FF0000"/>
        </w:rPr>
        <w:t xml:space="preserve"> </w:t>
      </w:r>
    </w:p>
    <w:p w14:paraId="3C7FEFAF" w14:textId="77777777" w:rsidR="002128D4" w:rsidRPr="002128D4" w:rsidRDefault="002128D4" w:rsidP="002128D4">
      <w:pPr>
        <w:spacing w:after="0" w:afterAutospacing="0"/>
      </w:pPr>
    </w:p>
    <w:p w14:paraId="0B9E6FD2" w14:textId="63551ED8" w:rsidR="002128D4" w:rsidRDefault="002128D4" w:rsidP="002128D4">
      <w:pPr>
        <w:spacing w:after="0" w:afterAutospacing="0"/>
      </w:pPr>
      <w:r w:rsidRPr="002128D4">
        <w:fldChar w:fldCharType="begin"/>
      </w:r>
      <w:r w:rsidRPr="002128D4">
        <w:instrText xml:space="preserve"> MERGEFIELD </w:instrText>
      </w:r>
      <w:r w:rsidRPr="002128D4">
        <w:rPr>
          <w:bCs/>
          <w:lang w:bidi="en-US"/>
        </w:rPr>
        <w:instrText>PAT_Full_Name</w:instrText>
      </w:r>
      <w:r w:rsidRPr="002128D4">
        <w:instrText xml:space="preserve"> </w:instrText>
      </w:r>
      <w:r w:rsidRPr="002128D4">
        <w:fldChar w:fldCharType="separate"/>
      </w:r>
      <w:r w:rsidRPr="002128D4">
        <w:t>«</w:t>
      </w:r>
      <w:proofErr w:type="spellStart"/>
      <w:r w:rsidRPr="002128D4">
        <w:t>PAT_Full_Name</w:t>
      </w:r>
      <w:proofErr w:type="spellEnd"/>
      <w:r w:rsidRPr="002128D4">
        <w:t>»</w:t>
      </w:r>
      <w:r w:rsidRPr="002128D4">
        <w:fldChar w:fldCharType="end"/>
      </w:r>
      <w:r w:rsidRPr="002128D4">
        <w:t xml:space="preserve"> presented to the hospital</w:t>
      </w:r>
      <w:r w:rsidRPr="002128D4">
        <w:rPr>
          <w:color w:val="FF0000"/>
        </w:rPr>
        <w:t xml:space="preserve"> Emergency Department via ambulance/as a direct admit </w:t>
      </w:r>
      <w:r w:rsidRPr="002128D4">
        <w:t xml:space="preserve">on </w:t>
      </w:r>
      <w:r w:rsidRPr="002128D4">
        <w:rPr>
          <w:color w:val="FF0000"/>
        </w:rPr>
        <w:t>mm/dd/</w:t>
      </w:r>
      <w:proofErr w:type="spellStart"/>
      <w:r w:rsidRPr="002128D4">
        <w:rPr>
          <w:color w:val="FF0000"/>
        </w:rPr>
        <w:t>yyyy</w:t>
      </w:r>
      <w:proofErr w:type="spellEnd"/>
      <w:r w:rsidRPr="002128D4">
        <w:t xml:space="preserve"> at </w:t>
      </w:r>
      <w:r w:rsidRPr="002128D4">
        <w:rPr>
          <w:color w:val="FF0000"/>
        </w:rPr>
        <w:t>00:00</w:t>
      </w:r>
      <w:r w:rsidRPr="002128D4">
        <w:t xml:space="preserve"> </w:t>
      </w:r>
      <w:r w:rsidRPr="002128D4">
        <w:rPr>
          <w:color w:val="FF0000"/>
        </w:rPr>
        <w:t>AM/PM</w:t>
      </w:r>
      <w:r w:rsidRPr="002128D4">
        <w:t xml:space="preserve"> after experiencing</w:t>
      </w:r>
      <w:r w:rsidRPr="002128D4">
        <w:rPr>
          <w:color w:val="FF0000"/>
        </w:rPr>
        <w:t xml:space="preserve"> (describe acute symptoms - avoid the words “complaining of” - use “suffering” or “experiencing”. Continue describing the patient’s presenting signs and symptoms, abnormal findings on physical exam, abnormal test results, treatments started in the ED and the outcome of those treatments, and any failure of outpatient treatment. Include the ED physician’s presumed or admitting diagnoses, if documented). </w:t>
      </w:r>
      <w:r w:rsidRPr="002128D4">
        <w:fldChar w:fldCharType="begin"/>
      </w:r>
      <w:r w:rsidRPr="002128D4">
        <w:instrText xml:space="preserve"> MERGEFIELD </w:instrText>
      </w:r>
      <w:r w:rsidRPr="002128D4">
        <w:rPr>
          <w:bCs/>
          <w:lang w:bidi="en-US"/>
        </w:rPr>
        <w:instrText>PAT_Full_Name</w:instrText>
      </w:r>
      <w:r w:rsidRPr="002128D4">
        <w:instrText xml:space="preserve"> </w:instrText>
      </w:r>
      <w:r w:rsidRPr="002128D4">
        <w:fldChar w:fldCharType="separate"/>
      </w:r>
      <w:r w:rsidRPr="002128D4">
        <w:t>«</w:t>
      </w:r>
      <w:proofErr w:type="spellStart"/>
      <w:r w:rsidRPr="002128D4">
        <w:t>PAT_Full_Name</w:t>
      </w:r>
      <w:proofErr w:type="spellEnd"/>
      <w:r w:rsidRPr="002128D4">
        <w:t>»</w:t>
      </w:r>
      <w:r w:rsidRPr="002128D4">
        <w:fldChar w:fldCharType="end"/>
      </w:r>
      <w:r w:rsidRPr="002128D4">
        <w:t xml:space="preserve"> was</w:t>
      </w:r>
      <w:r w:rsidRPr="002128D4">
        <w:rPr>
          <w:color w:val="FF0000"/>
        </w:rPr>
        <w:t xml:space="preserve"> admitted as an inpatient/initially placed in observation </w:t>
      </w:r>
      <w:r w:rsidRPr="002128D4">
        <w:t xml:space="preserve">on </w:t>
      </w:r>
      <w:r w:rsidRPr="002128D4">
        <w:rPr>
          <w:color w:val="FF0000"/>
        </w:rPr>
        <w:t>mm/dd/</w:t>
      </w:r>
      <w:proofErr w:type="spellStart"/>
      <w:r w:rsidRPr="002128D4">
        <w:rPr>
          <w:color w:val="FF0000"/>
        </w:rPr>
        <w:t>yyyy</w:t>
      </w:r>
      <w:proofErr w:type="spellEnd"/>
      <w:r w:rsidRPr="002128D4">
        <w:t xml:space="preserve"> at </w:t>
      </w:r>
      <w:r w:rsidRPr="002128D4">
        <w:rPr>
          <w:color w:val="FF0000"/>
        </w:rPr>
        <w:t>00:00</w:t>
      </w:r>
      <w:r w:rsidRPr="002128D4">
        <w:t xml:space="preserve"> </w:t>
      </w:r>
      <w:r w:rsidRPr="002128D4">
        <w:rPr>
          <w:color w:val="FF0000"/>
        </w:rPr>
        <w:t>AM/PM</w:t>
      </w:r>
      <w:r w:rsidRPr="002128D4">
        <w:t>.</w:t>
      </w:r>
      <w:r w:rsidRPr="002128D4">
        <w:rPr>
          <w:color w:val="FF0000"/>
        </w:rPr>
        <w:t xml:space="preserve"> </w:t>
      </w:r>
    </w:p>
    <w:p w14:paraId="6BCD0075" w14:textId="77777777" w:rsidR="00F374AC" w:rsidRPr="002128D4" w:rsidRDefault="00F374AC" w:rsidP="002128D4">
      <w:pPr>
        <w:spacing w:after="0" w:afterAutospacing="0"/>
      </w:pPr>
    </w:p>
    <w:p w14:paraId="58347493" w14:textId="77777777" w:rsidR="002128D4" w:rsidRPr="002128D4" w:rsidRDefault="002128D4" w:rsidP="002128D4">
      <w:pPr>
        <w:spacing w:after="0" w:afterAutospacing="0"/>
        <w:rPr>
          <w:color w:val="FF0000"/>
        </w:rPr>
      </w:pPr>
      <w:r w:rsidRPr="002128D4">
        <w:rPr>
          <w:color w:val="FF0000"/>
        </w:rPr>
        <w:t>(Summarize the admitting physician’s history and physical and plan of care documentation that supports how the patient was severely ill, at a high risk of death or further disability, required intensive medical care, services, testing, or monitoring to justify the physician’s inpatient admission decision. Focus on what is known at the time of the decision to admit. Cite all relevant abnormal findings and explain their significance. Avoid using words like some, a little, minor, etc., while incorporating words like significant, severe, abnormal, elevated, decreased, or aberrant as long as that is supported in the medical record. Include the relevant specialty and interdisciplinary consultations ordered along with their findings. Review the discharge summary and summarize any major events that occurred during the hospitalization.)</w:t>
      </w:r>
    </w:p>
    <w:p w14:paraId="6F690876" w14:textId="77777777" w:rsidR="002128D4" w:rsidRPr="002128D4" w:rsidRDefault="002128D4" w:rsidP="002128D4">
      <w:pPr>
        <w:spacing w:after="0" w:afterAutospacing="0"/>
      </w:pPr>
    </w:p>
    <w:p w14:paraId="463BE855" w14:textId="7A9ED25D" w:rsidR="00F374AC" w:rsidRDefault="002128D4" w:rsidP="007E5ACC">
      <w:pPr>
        <w:spacing w:after="0" w:afterAutospacing="0"/>
        <w:rPr>
          <w:color w:val="FF0000"/>
        </w:rPr>
      </w:pPr>
      <w:r w:rsidRPr="002128D4">
        <w:rPr>
          <w:color w:val="FF0000"/>
        </w:rPr>
        <w:t>(Establish in the summary how the clinical evidence supports the need for inpatient hospitalization.)</w:t>
      </w:r>
    </w:p>
    <w:p w14:paraId="299FABBF" w14:textId="77777777" w:rsidR="007E5ACC" w:rsidRDefault="007E5ACC" w:rsidP="007E5ACC">
      <w:pPr>
        <w:spacing w:after="0" w:afterAutospacing="0"/>
        <w:rPr>
          <w:b/>
          <w:bCs/>
        </w:rPr>
      </w:pPr>
    </w:p>
    <w:p w14:paraId="773C5399" w14:textId="1B311D40" w:rsidR="002128D4" w:rsidRPr="002128D4" w:rsidRDefault="002128D4" w:rsidP="002128D4">
      <w:pPr>
        <w:spacing w:after="200" w:afterAutospacing="0"/>
        <w:jc w:val="center"/>
        <w:rPr>
          <w:b/>
          <w:bCs/>
        </w:rPr>
      </w:pPr>
      <w:r w:rsidRPr="002128D4">
        <w:rPr>
          <w:b/>
          <w:bCs/>
        </w:rPr>
        <w:t>Acceptable Standards of Medical Care in the Community</w:t>
      </w:r>
    </w:p>
    <w:p w14:paraId="60601CE0" w14:textId="77777777" w:rsidR="002128D4" w:rsidRPr="002128D4" w:rsidRDefault="002128D4" w:rsidP="002128D4">
      <w:pPr>
        <w:spacing w:after="0" w:afterAutospacing="0"/>
      </w:pPr>
      <w:r w:rsidRPr="002128D4">
        <w:lastRenderedPageBreak/>
        <w:t>Acceptable standards of medical care within the community should always be a consideration in any decision to admit a patient to inpatient status in a hospital. Evidence based guidelines support inpatient admission and/or indicate this patient was at high risk for adverse events and/or poor outcomes.</w:t>
      </w:r>
    </w:p>
    <w:p w14:paraId="6240A6CC" w14:textId="77777777" w:rsidR="002128D4" w:rsidRPr="002128D4" w:rsidRDefault="002128D4" w:rsidP="002128D4">
      <w:pPr>
        <w:spacing w:after="0" w:afterAutospacing="0"/>
      </w:pPr>
    </w:p>
    <w:p w14:paraId="654BCFC0" w14:textId="77777777" w:rsidR="002128D4" w:rsidRPr="002128D4" w:rsidRDefault="002128D4" w:rsidP="002128D4">
      <w:pPr>
        <w:spacing w:after="0" w:afterAutospacing="0"/>
        <w:jc w:val="center"/>
        <w:rPr>
          <w:b/>
          <w:bCs/>
        </w:rPr>
      </w:pPr>
      <w:r w:rsidRPr="002128D4">
        <w:rPr>
          <w:b/>
          <w:bCs/>
        </w:rPr>
        <w:t>Justification of Treatment and Setting by Standards of Care</w:t>
      </w:r>
    </w:p>
    <w:p w14:paraId="22300736" w14:textId="77777777" w:rsidR="004619C3" w:rsidRDefault="004619C3" w:rsidP="00162B1F">
      <w:pPr>
        <w:pStyle w:val="NoSpacing"/>
        <w:rPr>
          <w:b/>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7378"/>
      </w:tblGrid>
      <w:tr w:rsidR="002B5A91" w:rsidRPr="00920355" w14:paraId="211A85CC" w14:textId="77777777" w:rsidTr="003F1631">
        <w:trPr>
          <w:trHeight w:val="288"/>
        </w:trPr>
        <w:tc>
          <w:tcPr>
            <w:tcW w:w="2162" w:type="dxa"/>
            <w:tcBorders>
              <w:top w:val="single" w:sz="4" w:space="0" w:color="auto"/>
              <w:left w:val="single" w:sz="4" w:space="0" w:color="auto"/>
              <w:bottom w:val="single" w:sz="4" w:space="0" w:color="auto"/>
              <w:right w:val="single" w:sz="4" w:space="0" w:color="auto"/>
            </w:tcBorders>
          </w:tcPr>
          <w:p w14:paraId="18DA3A3F" w14:textId="77777777" w:rsidR="002B5A91" w:rsidRPr="00603A37" w:rsidRDefault="002B5A91" w:rsidP="003F1631">
            <w:pPr>
              <w:pStyle w:val="NoSpacing"/>
              <w:rPr>
                <w:b/>
              </w:rPr>
            </w:pPr>
            <w:bookmarkStart w:id="0" w:name="_Hlk153803179"/>
            <w:r w:rsidRPr="00603A37">
              <w:rPr>
                <w:b/>
              </w:rPr>
              <w:t xml:space="preserve">Source/Reference </w:t>
            </w:r>
          </w:p>
        </w:tc>
        <w:tc>
          <w:tcPr>
            <w:tcW w:w="7378" w:type="dxa"/>
            <w:tcBorders>
              <w:top w:val="single" w:sz="4" w:space="0" w:color="auto"/>
              <w:left w:val="single" w:sz="4" w:space="0" w:color="auto"/>
              <w:bottom w:val="single" w:sz="4" w:space="0" w:color="auto"/>
              <w:right w:val="single" w:sz="4" w:space="0" w:color="auto"/>
            </w:tcBorders>
          </w:tcPr>
          <w:p w14:paraId="06F932B2" w14:textId="77777777" w:rsidR="002B5A91" w:rsidRDefault="002B5A91" w:rsidP="003F1631">
            <w:pPr>
              <w:rPr>
                <w:b/>
              </w:rPr>
            </w:pPr>
            <w:r>
              <w:rPr>
                <w:b/>
              </w:rPr>
              <w:t xml:space="preserve">List of Medicare severity diagnosis-related groups (MS-DRGs) geometric mean length of stay – FY 2023 final rule. </w:t>
            </w:r>
            <w:hyperlink r:id="rId8" w:history="1">
              <w:r w:rsidRPr="00C71B08">
                <w:rPr>
                  <w:rStyle w:val="Hyperlink"/>
                  <w:i w:val="0"/>
                  <w:iCs w:val="0"/>
                </w:rPr>
                <w:t>https://www.cms.gov/medicare/payment/prospective-payment-systems/acute-inpatient-pps/fy-2023-ipps-final-rule-home-page</w:t>
              </w:r>
            </w:hyperlink>
          </w:p>
        </w:tc>
      </w:tr>
      <w:tr w:rsidR="002B5A91" w:rsidRPr="00920355" w14:paraId="0163F541" w14:textId="77777777" w:rsidTr="003F1631">
        <w:tc>
          <w:tcPr>
            <w:tcW w:w="2162" w:type="dxa"/>
            <w:tcBorders>
              <w:top w:val="single" w:sz="4" w:space="0" w:color="auto"/>
              <w:left w:val="single" w:sz="4" w:space="0" w:color="auto"/>
              <w:bottom w:val="single" w:sz="4" w:space="0" w:color="auto"/>
              <w:right w:val="single" w:sz="4" w:space="0" w:color="auto"/>
            </w:tcBorders>
          </w:tcPr>
          <w:p w14:paraId="118BA041" w14:textId="77777777" w:rsidR="002B5A91" w:rsidRPr="00603A37" w:rsidRDefault="002B5A91" w:rsidP="003F1631">
            <w:pPr>
              <w:pStyle w:val="NoSpacing"/>
              <w:rPr>
                <w:b/>
              </w:rPr>
            </w:pPr>
            <w:r w:rsidRPr="00603A37">
              <w:rPr>
                <w:b/>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tcPr>
          <w:p w14:paraId="348F997B" w14:textId="77777777" w:rsidR="002B5A91" w:rsidRDefault="002B5A91" w:rsidP="003F1631">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7"/>
              <w:gridCol w:w="4040"/>
            </w:tblGrid>
            <w:tr w:rsidR="002B5A91" w14:paraId="21AD1FC3" w14:textId="77777777" w:rsidTr="003F1631">
              <w:tc>
                <w:tcPr>
                  <w:tcW w:w="3037" w:type="dxa"/>
                  <w:tcBorders>
                    <w:top w:val="single" w:sz="4" w:space="0" w:color="auto"/>
                    <w:left w:val="single" w:sz="4" w:space="0" w:color="auto"/>
                    <w:bottom w:val="single" w:sz="4" w:space="0" w:color="auto"/>
                    <w:right w:val="single" w:sz="4" w:space="0" w:color="auto"/>
                  </w:tcBorders>
                  <w:hideMark/>
                </w:tcPr>
                <w:p w14:paraId="03FFE28C" w14:textId="77777777" w:rsidR="002B5A91" w:rsidRDefault="002B5A91" w:rsidP="003F1631">
                  <w:pPr>
                    <w:pStyle w:val="NoSpacing"/>
                    <w:rPr>
                      <w:b/>
                      <w:szCs w:val="24"/>
                    </w:rPr>
                  </w:pPr>
                  <w:r>
                    <w:rPr>
                      <w:b/>
                      <w:szCs w:val="24"/>
                    </w:rPr>
                    <w:t>DRG</w:t>
                  </w:r>
                </w:p>
              </w:tc>
              <w:tc>
                <w:tcPr>
                  <w:tcW w:w="4040" w:type="dxa"/>
                  <w:tcBorders>
                    <w:top w:val="single" w:sz="4" w:space="0" w:color="auto"/>
                    <w:left w:val="single" w:sz="4" w:space="0" w:color="auto"/>
                    <w:bottom w:val="single" w:sz="4" w:space="0" w:color="auto"/>
                    <w:right w:val="single" w:sz="4" w:space="0" w:color="auto"/>
                  </w:tcBorders>
                  <w:hideMark/>
                </w:tcPr>
                <w:p w14:paraId="0AA2C6B1" w14:textId="77777777" w:rsidR="002B5A91" w:rsidRDefault="002B5A91" w:rsidP="003F1631">
                  <w:pPr>
                    <w:pStyle w:val="NoSpacing"/>
                    <w:rPr>
                      <w:szCs w:val="24"/>
                    </w:rPr>
                  </w:pPr>
                  <w:r>
                    <w:rPr>
                      <w:b/>
                      <w:szCs w:val="24"/>
                    </w:rPr>
                    <w:t>Geometric Mean LOS</w:t>
                  </w:r>
                </w:p>
              </w:tc>
            </w:tr>
            <w:tr w:rsidR="002B5A91" w14:paraId="01C1F4CC" w14:textId="77777777" w:rsidTr="003F1631">
              <w:tc>
                <w:tcPr>
                  <w:tcW w:w="3037" w:type="dxa"/>
                  <w:tcBorders>
                    <w:top w:val="single" w:sz="4" w:space="0" w:color="auto"/>
                    <w:left w:val="single" w:sz="4" w:space="0" w:color="auto"/>
                    <w:bottom w:val="single" w:sz="4" w:space="0" w:color="auto"/>
                    <w:right w:val="single" w:sz="4" w:space="0" w:color="auto"/>
                  </w:tcBorders>
                  <w:hideMark/>
                </w:tcPr>
                <w:p w14:paraId="09A83CCE" w14:textId="77777777" w:rsidR="002B5A91" w:rsidRDefault="002B5A91" w:rsidP="003F1631">
                  <w:pPr>
                    <w:pStyle w:val="NoSpacing"/>
                    <w:rPr>
                      <w:szCs w:val="24"/>
                    </w:rPr>
                  </w:pPr>
                  <w:r>
                    <w:rPr>
                      <w:szCs w:val="24"/>
                    </w:rPr>
                    <w:t>312</w:t>
                  </w:r>
                </w:p>
              </w:tc>
              <w:tc>
                <w:tcPr>
                  <w:tcW w:w="4040" w:type="dxa"/>
                  <w:tcBorders>
                    <w:top w:val="single" w:sz="4" w:space="0" w:color="auto"/>
                    <w:left w:val="single" w:sz="4" w:space="0" w:color="auto"/>
                    <w:bottom w:val="single" w:sz="4" w:space="0" w:color="auto"/>
                    <w:right w:val="single" w:sz="4" w:space="0" w:color="auto"/>
                  </w:tcBorders>
                  <w:hideMark/>
                </w:tcPr>
                <w:p w14:paraId="163170D2" w14:textId="77777777" w:rsidR="002B5A91" w:rsidRDefault="002B5A91" w:rsidP="003F1631">
                  <w:pPr>
                    <w:pStyle w:val="NoSpacing"/>
                    <w:rPr>
                      <w:szCs w:val="24"/>
                    </w:rPr>
                  </w:pPr>
                  <w:r>
                    <w:rPr>
                      <w:szCs w:val="24"/>
                    </w:rPr>
                    <w:t>2.3</w:t>
                  </w:r>
                </w:p>
              </w:tc>
            </w:tr>
          </w:tbl>
          <w:p w14:paraId="08D8D4AF" w14:textId="77777777" w:rsidR="002B5A91" w:rsidRDefault="002B5A91" w:rsidP="003F1631">
            <w:pPr>
              <w:pStyle w:val="NoSpacing"/>
              <w:rPr>
                <w:szCs w:val="24"/>
              </w:rPr>
            </w:pPr>
          </w:p>
        </w:tc>
      </w:tr>
      <w:tr w:rsidR="002B5A91" w:rsidRPr="002873AD" w14:paraId="2483DF08" w14:textId="77777777" w:rsidTr="003F1631">
        <w:trPr>
          <w:trHeight w:val="144"/>
        </w:trPr>
        <w:tc>
          <w:tcPr>
            <w:tcW w:w="2162" w:type="dxa"/>
            <w:shd w:val="clear" w:color="auto" w:fill="D9D9D9"/>
          </w:tcPr>
          <w:p w14:paraId="72C46125" w14:textId="77777777" w:rsidR="002B5A91" w:rsidRPr="002873AD" w:rsidRDefault="002B5A91" w:rsidP="003F1631">
            <w:pPr>
              <w:pStyle w:val="NoSpacing"/>
              <w:rPr>
                <w:b/>
                <w:sz w:val="12"/>
                <w:szCs w:val="12"/>
              </w:rPr>
            </w:pPr>
          </w:p>
        </w:tc>
        <w:tc>
          <w:tcPr>
            <w:tcW w:w="7378" w:type="dxa"/>
            <w:shd w:val="clear" w:color="auto" w:fill="D9D9D9"/>
          </w:tcPr>
          <w:p w14:paraId="72CFAF45" w14:textId="77777777" w:rsidR="002B5A91" w:rsidRPr="002873AD" w:rsidRDefault="002B5A91" w:rsidP="003F1631">
            <w:pPr>
              <w:pStyle w:val="NoSpacing"/>
              <w:rPr>
                <w:sz w:val="12"/>
                <w:szCs w:val="12"/>
              </w:rPr>
            </w:pPr>
          </w:p>
        </w:tc>
      </w:tr>
      <w:tr w:rsidR="002B5A91" w:rsidRPr="002873AD" w14:paraId="077672E3" w14:textId="77777777" w:rsidTr="003F1631">
        <w:trPr>
          <w:trHeight w:val="288"/>
        </w:trPr>
        <w:tc>
          <w:tcPr>
            <w:tcW w:w="2162" w:type="dxa"/>
          </w:tcPr>
          <w:p w14:paraId="720FFE36" w14:textId="77777777" w:rsidR="002B5A91" w:rsidRPr="002873AD" w:rsidRDefault="002B5A91" w:rsidP="003F1631">
            <w:pPr>
              <w:pStyle w:val="NoSpacing"/>
              <w:rPr>
                <w:b/>
                <w:szCs w:val="24"/>
              </w:rPr>
            </w:pPr>
            <w:r w:rsidRPr="002873AD">
              <w:rPr>
                <w:b/>
                <w:szCs w:val="24"/>
              </w:rPr>
              <w:t>Source/Reference</w:t>
            </w:r>
          </w:p>
        </w:tc>
        <w:tc>
          <w:tcPr>
            <w:tcW w:w="7378" w:type="dxa"/>
          </w:tcPr>
          <w:p w14:paraId="6A984252" w14:textId="77777777" w:rsidR="002B5A91" w:rsidRPr="0072711B" w:rsidRDefault="002B5A91" w:rsidP="003F1631">
            <w:pPr>
              <w:pStyle w:val="NoSpacing"/>
              <w:rPr>
                <w:b/>
                <w:bCs/>
                <w:szCs w:val="24"/>
              </w:rPr>
            </w:pPr>
            <w:r w:rsidRPr="0072711B">
              <w:rPr>
                <w:b/>
                <w:bCs/>
                <w:szCs w:val="24"/>
              </w:rPr>
              <w:t>Shen, W.K., Sheldon, R.S., Benditt, D.G., Cohen, M.I., Forman, D.E., Goldberger, Z.D.,</w:t>
            </w:r>
            <w:r w:rsidRPr="0072711B">
              <w:t xml:space="preserve"> </w:t>
            </w:r>
            <w:r w:rsidRPr="0072711B">
              <w:rPr>
                <w:b/>
                <w:bCs/>
                <w:szCs w:val="24"/>
              </w:rPr>
              <w:t>Grubb, B.P. et al. (2017). 2017 ACC/AHA/HRS Guideline for the Evaluation and Management of Patients</w:t>
            </w:r>
          </w:p>
          <w:p w14:paraId="6E35226C" w14:textId="77777777" w:rsidR="002B5A91" w:rsidRPr="0072711B" w:rsidRDefault="002B5A91" w:rsidP="003F1631">
            <w:pPr>
              <w:pStyle w:val="NoSpacing"/>
              <w:rPr>
                <w:b/>
                <w:bCs/>
                <w:szCs w:val="24"/>
              </w:rPr>
            </w:pPr>
            <w:r w:rsidRPr="0072711B">
              <w:rPr>
                <w:b/>
                <w:bCs/>
                <w:szCs w:val="24"/>
              </w:rPr>
              <w:t xml:space="preserve">With Syncope. </w:t>
            </w:r>
            <w:r w:rsidRPr="0072711B">
              <w:rPr>
                <w:b/>
                <w:bCs/>
                <w:i/>
                <w:iCs/>
                <w:szCs w:val="24"/>
              </w:rPr>
              <w:t xml:space="preserve">Circulation, </w:t>
            </w:r>
            <w:r w:rsidRPr="0072711B">
              <w:rPr>
                <w:b/>
                <w:bCs/>
                <w:iCs/>
                <w:szCs w:val="24"/>
              </w:rPr>
              <w:t>(136), 60–122</w:t>
            </w:r>
            <w:r w:rsidRPr="0072711B">
              <w:rPr>
                <w:b/>
                <w:bCs/>
                <w:szCs w:val="24"/>
              </w:rPr>
              <w:t>. Retrieved from:</w:t>
            </w:r>
            <w:r w:rsidRPr="0072711B">
              <w:rPr>
                <w:szCs w:val="24"/>
              </w:rPr>
              <w:t xml:space="preserve"> </w:t>
            </w:r>
            <w:r w:rsidRPr="00C71B08">
              <w:rPr>
                <w:b/>
                <w:bCs/>
                <w:iCs/>
                <w:szCs w:val="24"/>
              </w:rPr>
              <w:t>http://circ.ahajournals.org/content/136/5/e60.long</w:t>
            </w:r>
          </w:p>
        </w:tc>
      </w:tr>
      <w:tr w:rsidR="002B5A91" w:rsidRPr="002873AD" w14:paraId="604B3B52" w14:textId="77777777" w:rsidTr="003F1631">
        <w:tc>
          <w:tcPr>
            <w:tcW w:w="2162" w:type="dxa"/>
          </w:tcPr>
          <w:p w14:paraId="6622266F" w14:textId="77777777" w:rsidR="002B5A91" w:rsidRPr="002873AD" w:rsidRDefault="002B5A91" w:rsidP="003F1631">
            <w:pPr>
              <w:pStyle w:val="NoSpacing"/>
              <w:rPr>
                <w:szCs w:val="24"/>
              </w:rPr>
            </w:pPr>
            <w:r w:rsidRPr="002873AD">
              <w:rPr>
                <w:b/>
                <w:szCs w:val="24"/>
              </w:rPr>
              <w:t>Evidence Based Guideline/Practice Guideline Recommendation</w:t>
            </w:r>
          </w:p>
        </w:tc>
        <w:tc>
          <w:tcPr>
            <w:tcW w:w="7378" w:type="dxa"/>
          </w:tcPr>
          <w:p w14:paraId="47296477" w14:textId="77777777" w:rsidR="002B5A91" w:rsidRDefault="002B5A91" w:rsidP="003F1631">
            <w:pPr>
              <w:spacing w:after="0" w:afterAutospacing="0"/>
              <w:rPr>
                <w:bCs/>
                <w:szCs w:val="24"/>
              </w:rPr>
            </w:pPr>
            <w:r w:rsidRPr="00C71B08">
              <w:rPr>
                <w:bCs/>
                <w:szCs w:val="24"/>
              </w:rPr>
              <w:t>Studies of syncope report prevalence rates as high as 41%, with recurrent syncope occurring in 13.5%.</w:t>
            </w:r>
          </w:p>
          <w:p w14:paraId="19FFF18A" w14:textId="77777777" w:rsidR="002B5A91" w:rsidRPr="00C71B08" w:rsidRDefault="002B5A91" w:rsidP="003F1631">
            <w:pPr>
              <w:spacing w:after="0" w:afterAutospacing="0"/>
              <w:rPr>
                <w:bCs/>
                <w:szCs w:val="24"/>
              </w:rPr>
            </w:pPr>
          </w:p>
          <w:p w14:paraId="0AE1F97A" w14:textId="77777777" w:rsidR="002B5A91" w:rsidRDefault="002B5A91" w:rsidP="003F1631">
            <w:pPr>
              <w:spacing w:after="0" w:afterAutospacing="0"/>
              <w:rPr>
                <w:bCs/>
                <w:szCs w:val="24"/>
              </w:rPr>
            </w:pPr>
            <w:r w:rsidRPr="00C71B08">
              <w:rPr>
                <w:bCs/>
                <w:szCs w:val="24"/>
              </w:rPr>
              <w:t>There is a greater risk of hospitalization and death related to syncope</w:t>
            </w:r>
            <w:r w:rsidRPr="0072711B">
              <w:t xml:space="preserve"> </w:t>
            </w:r>
            <w:r w:rsidRPr="00C71B08">
              <w:rPr>
                <w:bCs/>
                <w:szCs w:val="24"/>
              </w:rPr>
              <w:t>in older adults.</w:t>
            </w:r>
          </w:p>
          <w:p w14:paraId="1A2C7598" w14:textId="77777777" w:rsidR="002B5A91" w:rsidRPr="00C71B08" w:rsidRDefault="002B5A91" w:rsidP="003F1631">
            <w:pPr>
              <w:spacing w:after="0" w:afterAutospacing="0"/>
              <w:rPr>
                <w:bCs/>
                <w:szCs w:val="24"/>
              </w:rPr>
            </w:pPr>
          </w:p>
          <w:p w14:paraId="36A80B81" w14:textId="77777777" w:rsidR="002B5A91" w:rsidRPr="00C71B08" w:rsidRDefault="002B5A91" w:rsidP="003F1631">
            <w:pPr>
              <w:spacing w:after="0" w:afterAutospacing="0"/>
              <w:rPr>
                <w:bCs/>
                <w:szCs w:val="24"/>
              </w:rPr>
            </w:pPr>
            <w:r w:rsidRPr="00C71B08">
              <w:rPr>
                <w:bCs/>
                <w:szCs w:val="24"/>
              </w:rPr>
              <w:t xml:space="preserve">Syncope is a symptom that can be due to various causes, ranging from benign to life-threatening conditions. Risk stratification during initial evaluation is important for guiding the treatment and preventing long-term morbidity and mortality. </w:t>
            </w:r>
          </w:p>
          <w:p w14:paraId="67CE320C" w14:textId="77777777" w:rsidR="002B5A91" w:rsidRDefault="002B5A91" w:rsidP="003F1631">
            <w:pPr>
              <w:spacing w:after="0" w:afterAutospacing="0"/>
              <w:rPr>
                <w:bCs/>
                <w:szCs w:val="24"/>
              </w:rPr>
            </w:pPr>
          </w:p>
          <w:p w14:paraId="6C62DC8F" w14:textId="77777777" w:rsidR="002B5A91" w:rsidRDefault="002B5A91" w:rsidP="003F1631">
            <w:pPr>
              <w:spacing w:after="0" w:afterAutospacing="0"/>
              <w:rPr>
                <w:bCs/>
                <w:szCs w:val="24"/>
              </w:rPr>
            </w:pPr>
            <w:r w:rsidRPr="00C71B08">
              <w:rPr>
                <w:bCs/>
                <w:szCs w:val="24"/>
              </w:rPr>
              <w:t xml:space="preserve">The short-term prognosis of patients presenting with syncope is mainly related to the cause of syncope and the acute reversibility of the underlying condition; long-term prognosis is related to the effectiveness of therapy and the severity and progression of underlying diseases, especially cardiac or terminal illnesses.  </w:t>
            </w:r>
          </w:p>
          <w:p w14:paraId="27B450DD" w14:textId="77777777" w:rsidR="002B5A91" w:rsidRPr="00C71B08" w:rsidRDefault="002B5A91" w:rsidP="003F1631">
            <w:pPr>
              <w:spacing w:after="0" w:afterAutospacing="0"/>
              <w:rPr>
                <w:bCs/>
                <w:szCs w:val="24"/>
              </w:rPr>
            </w:pPr>
          </w:p>
          <w:p w14:paraId="4B8EEBF3" w14:textId="77777777" w:rsidR="002B5A91" w:rsidRDefault="002B5A91" w:rsidP="003F1631">
            <w:pPr>
              <w:spacing w:after="0" w:afterAutospacing="0"/>
              <w:rPr>
                <w:bCs/>
                <w:szCs w:val="24"/>
              </w:rPr>
            </w:pPr>
            <w:r w:rsidRPr="00C71B08">
              <w:rPr>
                <w:bCs/>
                <w:szCs w:val="24"/>
              </w:rPr>
              <w:t xml:space="preserve">The purpose of hospital-based evaluation is to expedite the treatment of identified serious conditions or to continue the diagnostic evaluation in the absence of a presumptive cause of syncope.  </w:t>
            </w:r>
          </w:p>
          <w:p w14:paraId="44FEB5EC" w14:textId="77777777" w:rsidR="002B5A91" w:rsidRPr="00C71B08" w:rsidRDefault="002B5A91" w:rsidP="003F1631">
            <w:pPr>
              <w:spacing w:after="0" w:afterAutospacing="0"/>
              <w:rPr>
                <w:bCs/>
                <w:szCs w:val="24"/>
              </w:rPr>
            </w:pPr>
          </w:p>
          <w:p w14:paraId="7A96071B" w14:textId="77777777" w:rsidR="002B5A91" w:rsidRDefault="002B5A91" w:rsidP="003F1631">
            <w:pPr>
              <w:spacing w:after="0" w:afterAutospacing="0"/>
              <w:rPr>
                <w:bCs/>
                <w:szCs w:val="24"/>
              </w:rPr>
            </w:pPr>
            <w:r w:rsidRPr="00C71B08">
              <w:rPr>
                <w:bCs/>
                <w:szCs w:val="24"/>
              </w:rPr>
              <w:t xml:space="preserve">Patients with perceived higher risk, the healthcare provider may recommend a hospital-based evaluation. In this setting, a structured ED protocol can be effective as an alternative to inpatient admission.  </w:t>
            </w:r>
          </w:p>
          <w:p w14:paraId="689B97FC" w14:textId="77777777" w:rsidR="002B5A91" w:rsidRPr="00C71B08" w:rsidRDefault="002B5A91" w:rsidP="003F1631">
            <w:pPr>
              <w:spacing w:after="0" w:afterAutospacing="0"/>
              <w:rPr>
                <w:bCs/>
                <w:szCs w:val="24"/>
              </w:rPr>
            </w:pPr>
          </w:p>
          <w:p w14:paraId="34227E15" w14:textId="77777777" w:rsidR="002B5A91" w:rsidRDefault="002B5A91" w:rsidP="003F1631">
            <w:pPr>
              <w:spacing w:after="0" w:afterAutospacing="0"/>
              <w:rPr>
                <w:bCs/>
                <w:szCs w:val="24"/>
              </w:rPr>
            </w:pPr>
            <w:r w:rsidRPr="00C71B08">
              <w:rPr>
                <w:bCs/>
                <w:szCs w:val="24"/>
              </w:rPr>
              <w:t xml:space="preserve">The selection of a given diagnostic test, after the initial history, physical examination, and baseline ECG, is a clinical decision based on the patient’s clinical presentation, risk stratification, and a clear understanding of diagnostic and prognostic value of any further testing.  </w:t>
            </w:r>
          </w:p>
          <w:p w14:paraId="2A4BB5CF" w14:textId="77777777" w:rsidR="002B5A91" w:rsidRPr="00C71B08" w:rsidRDefault="002B5A91" w:rsidP="003F1631">
            <w:pPr>
              <w:spacing w:after="0" w:afterAutospacing="0"/>
              <w:rPr>
                <w:bCs/>
                <w:szCs w:val="24"/>
              </w:rPr>
            </w:pPr>
          </w:p>
          <w:p w14:paraId="358A994C" w14:textId="77777777" w:rsidR="002B5A91" w:rsidRPr="00C71B08" w:rsidRDefault="002B5A91" w:rsidP="003F1631">
            <w:pPr>
              <w:spacing w:after="0" w:afterAutospacing="0"/>
              <w:rPr>
                <w:bCs/>
                <w:szCs w:val="24"/>
              </w:rPr>
            </w:pPr>
            <w:r w:rsidRPr="00C71B08">
              <w:rPr>
                <w:bCs/>
                <w:szCs w:val="24"/>
              </w:rPr>
              <w:t>To evaluate selected ambulatory patients with syncope of suspected arrhythmic etiology, the following external cardiac monitoring approaches can be useful:</w:t>
            </w:r>
          </w:p>
          <w:p w14:paraId="2127BCF2" w14:textId="77777777" w:rsidR="002B5A91" w:rsidRPr="0072711B" w:rsidRDefault="002B5A91" w:rsidP="003F1631">
            <w:pPr>
              <w:pStyle w:val="ListParagraph"/>
              <w:numPr>
                <w:ilvl w:val="0"/>
                <w:numId w:val="37"/>
              </w:numPr>
              <w:spacing w:after="0"/>
              <w:rPr>
                <w:bCs/>
                <w:szCs w:val="24"/>
              </w:rPr>
            </w:pPr>
            <w:r w:rsidRPr="0072711B">
              <w:rPr>
                <w:bCs/>
                <w:szCs w:val="24"/>
              </w:rPr>
              <w:t xml:space="preserve">Holter monitor </w:t>
            </w:r>
          </w:p>
          <w:p w14:paraId="0C885C92" w14:textId="77777777" w:rsidR="002B5A91" w:rsidRPr="0072711B" w:rsidRDefault="002B5A91" w:rsidP="003F1631">
            <w:pPr>
              <w:pStyle w:val="ListParagraph"/>
              <w:numPr>
                <w:ilvl w:val="0"/>
                <w:numId w:val="37"/>
              </w:numPr>
              <w:spacing w:after="0"/>
              <w:rPr>
                <w:bCs/>
                <w:szCs w:val="24"/>
              </w:rPr>
            </w:pPr>
            <w:proofErr w:type="spellStart"/>
            <w:r w:rsidRPr="0072711B">
              <w:rPr>
                <w:bCs/>
                <w:szCs w:val="24"/>
              </w:rPr>
              <w:t>Transtelephonic</w:t>
            </w:r>
            <w:proofErr w:type="spellEnd"/>
            <w:r w:rsidRPr="0072711B">
              <w:rPr>
                <w:bCs/>
                <w:szCs w:val="24"/>
              </w:rPr>
              <w:t xml:space="preserve"> monitor</w:t>
            </w:r>
          </w:p>
          <w:p w14:paraId="6653F98B" w14:textId="77777777" w:rsidR="002B5A91" w:rsidRPr="0072711B" w:rsidRDefault="002B5A91" w:rsidP="003F1631">
            <w:pPr>
              <w:pStyle w:val="ListParagraph"/>
              <w:numPr>
                <w:ilvl w:val="0"/>
                <w:numId w:val="37"/>
              </w:numPr>
              <w:spacing w:after="0"/>
              <w:rPr>
                <w:bCs/>
                <w:szCs w:val="24"/>
              </w:rPr>
            </w:pPr>
            <w:r w:rsidRPr="0072711B">
              <w:rPr>
                <w:bCs/>
                <w:szCs w:val="24"/>
              </w:rPr>
              <w:t>External loop recorder</w:t>
            </w:r>
          </w:p>
          <w:p w14:paraId="3E9945A7" w14:textId="77777777" w:rsidR="002B5A91" w:rsidRPr="0072711B" w:rsidRDefault="002B5A91" w:rsidP="003F1631">
            <w:pPr>
              <w:pStyle w:val="ListParagraph"/>
              <w:numPr>
                <w:ilvl w:val="0"/>
                <w:numId w:val="37"/>
              </w:numPr>
              <w:spacing w:after="0"/>
              <w:rPr>
                <w:bCs/>
                <w:szCs w:val="24"/>
              </w:rPr>
            </w:pPr>
            <w:r w:rsidRPr="0072711B">
              <w:rPr>
                <w:bCs/>
                <w:szCs w:val="24"/>
              </w:rPr>
              <w:t>Patch recorder</w:t>
            </w:r>
          </w:p>
          <w:p w14:paraId="1911F0AF" w14:textId="77777777" w:rsidR="002B5A91" w:rsidRPr="0072711B" w:rsidRDefault="002B5A91" w:rsidP="003F1631">
            <w:pPr>
              <w:pStyle w:val="ListParagraph"/>
              <w:numPr>
                <w:ilvl w:val="0"/>
                <w:numId w:val="37"/>
              </w:numPr>
              <w:spacing w:after="0"/>
              <w:rPr>
                <w:bCs/>
                <w:szCs w:val="24"/>
              </w:rPr>
            </w:pPr>
            <w:r w:rsidRPr="0072711B">
              <w:rPr>
                <w:bCs/>
                <w:szCs w:val="24"/>
              </w:rPr>
              <w:t>Mobile cardiac outpatient telemetry</w:t>
            </w:r>
          </w:p>
        </w:tc>
      </w:tr>
      <w:tr w:rsidR="002B5A91" w:rsidRPr="002873AD" w14:paraId="287C86C6" w14:textId="77777777" w:rsidTr="003F1631">
        <w:trPr>
          <w:trHeight w:val="144"/>
        </w:trPr>
        <w:tc>
          <w:tcPr>
            <w:tcW w:w="2162" w:type="dxa"/>
            <w:shd w:val="clear" w:color="auto" w:fill="D9D9D9"/>
          </w:tcPr>
          <w:p w14:paraId="412F9926" w14:textId="77777777" w:rsidR="002B5A91" w:rsidRPr="002873AD" w:rsidRDefault="002B5A91" w:rsidP="003F1631">
            <w:pPr>
              <w:pStyle w:val="NoSpacing"/>
              <w:rPr>
                <w:b/>
                <w:sz w:val="12"/>
                <w:szCs w:val="12"/>
              </w:rPr>
            </w:pPr>
          </w:p>
        </w:tc>
        <w:tc>
          <w:tcPr>
            <w:tcW w:w="7378" w:type="dxa"/>
            <w:shd w:val="clear" w:color="auto" w:fill="D9D9D9"/>
          </w:tcPr>
          <w:p w14:paraId="5A1310E8" w14:textId="77777777" w:rsidR="002B5A91" w:rsidRPr="0072711B" w:rsidRDefault="002B5A91" w:rsidP="003F1631">
            <w:pPr>
              <w:pStyle w:val="NoSpacing"/>
              <w:rPr>
                <w:sz w:val="12"/>
                <w:szCs w:val="24"/>
              </w:rPr>
            </w:pPr>
          </w:p>
        </w:tc>
      </w:tr>
      <w:tr w:rsidR="002B5A91" w:rsidRPr="002873AD" w14:paraId="7E4D777A" w14:textId="77777777" w:rsidTr="003F1631">
        <w:trPr>
          <w:trHeight w:val="288"/>
        </w:trPr>
        <w:tc>
          <w:tcPr>
            <w:tcW w:w="2162" w:type="dxa"/>
            <w:tcBorders>
              <w:top w:val="single" w:sz="4" w:space="0" w:color="auto"/>
              <w:left w:val="single" w:sz="4" w:space="0" w:color="auto"/>
              <w:bottom w:val="single" w:sz="4" w:space="0" w:color="auto"/>
              <w:right w:val="single" w:sz="4" w:space="0" w:color="auto"/>
            </w:tcBorders>
          </w:tcPr>
          <w:p w14:paraId="4C4B2263" w14:textId="77777777" w:rsidR="002B5A91" w:rsidRPr="002873AD" w:rsidRDefault="002B5A91" w:rsidP="003F1631">
            <w:pPr>
              <w:pStyle w:val="NoSpacing"/>
              <w:rPr>
                <w:b/>
                <w:szCs w:val="24"/>
              </w:rPr>
            </w:pPr>
            <w:r w:rsidRPr="002873AD">
              <w:rPr>
                <w:b/>
                <w:szCs w:val="24"/>
              </w:rPr>
              <w:t xml:space="preserve">Source/Reference </w:t>
            </w:r>
          </w:p>
        </w:tc>
        <w:tc>
          <w:tcPr>
            <w:tcW w:w="7378" w:type="dxa"/>
            <w:tcBorders>
              <w:top w:val="single" w:sz="4" w:space="0" w:color="auto"/>
              <w:left w:val="single" w:sz="4" w:space="0" w:color="auto"/>
              <w:bottom w:val="single" w:sz="4" w:space="0" w:color="auto"/>
              <w:right w:val="single" w:sz="4" w:space="0" w:color="auto"/>
            </w:tcBorders>
          </w:tcPr>
          <w:p w14:paraId="7972FC3D" w14:textId="77777777" w:rsidR="002B5A91" w:rsidRPr="00C05220" w:rsidRDefault="002B5A91" w:rsidP="003F1631">
            <w:pPr>
              <w:pStyle w:val="NoSpacing"/>
              <w:rPr>
                <w:b/>
                <w:bCs/>
                <w:kern w:val="36"/>
                <w:szCs w:val="24"/>
                <w:lang w:val="en"/>
              </w:rPr>
            </w:pPr>
            <w:r w:rsidRPr="00C05220">
              <w:rPr>
                <w:b/>
                <w:bCs/>
                <w:kern w:val="36"/>
                <w:szCs w:val="24"/>
                <w:lang w:val="en"/>
              </w:rPr>
              <w:t xml:space="preserve">Runser, L. A., Gauer, R. L., &amp; Houser, A. (2017). Syncope: Evaluation and Differential Diagnosis. American family physician, 95(5), 303–312. </w:t>
            </w:r>
          </w:p>
          <w:p w14:paraId="4B43ACEA" w14:textId="77777777" w:rsidR="002B5A91" w:rsidRPr="0072711B" w:rsidRDefault="002B5A91" w:rsidP="003F1631">
            <w:pPr>
              <w:pStyle w:val="NoSpacing"/>
              <w:rPr>
                <w:b/>
                <w:bCs/>
                <w:kern w:val="36"/>
                <w:szCs w:val="24"/>
                <w:lang w:val="en"/>
              </w:rPr>
            </w:pPr>
            <w:r w:rsidRPr="00C05220">
              <w:rPr>
                <w:b/>
                <w:bCs/>
                <w:kern w:val="36"/>
                <w:szCs w:val="24"/>
                <w:lang w:val="en"/>
              </w:rPr>
              <w:t>https://www.aafp.org/afp/2017/0301/p303.html</w:t>
            </w:r>
          </w:p>
        </w:tc>
      </w:tr>
      <w:tr w:rsidR="002B5A91" w:rsidRPr="002873AD" w14:paraId="64097A80" w14:textId="77777777" w:rsidTr="003F1631">
        <w:tc>
          <w:tcPr>
            <w:tcW w:w="2162" w:type="dxa"/>
            <w:tcBorders>
              <w:top w:val="single" w:sz="4" w:space="0" w:color="auto"/>
              <w:left w:val="single" w:sz="4" w:space="0" w:color="auto"/>
              <w:bottom w:val="single" w:sz="4" w:space="0" w:color="auto"/>
              <w:right w:val="single" w:sz="4" w:space="0" w:color="auto"/>
            </w:tcBorders>
          </w:tcPr>
          <w:p w14:paraId="7CED87CA" w14:textId="77777777" w:rsidR="002B5A91" w:rsidRPr="002873AD" w:rsidRDefault="002B5A91" w:rsidP="003F1631">
            <w:pPr>
              <w:pStyle w:val="NoSpacing"/>
              <w:rPr>
                <w:b/>
                <w:szCs w:val="24"/>
              </w:rPr>
            </w:pPr>
            <w:r w:rsidRPr="002873AD">
              <w:rPr>
                <w:b/>
                <w:szCs w:val="24"/>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tcPr>
          <w:p w14:paraId="3F7F55FB" w14:textId="77777777" w:rsidR="002B5A91" w:rsidRPr="00262A6B" w:rsidRDefault="002B5A91" w:rsidP="003F1631">
            <w:pPr>
              <w:pStyle w:val="NoSpacing"/>
              <w:rPr>
                <w:rFonts w:eastAsia="Times New Roman"/>
                <w:szCs w:val="24"/>
              </w:rPr>
            </w:pPr>
            <w:r w:rsidRPr="00262A6B">
              <w:rPr>
                <w:rFonts w:eastAsia="Times New Roman"/>
                <w:szCs w:val="24"/>
              </w:rPr>
              <w:t xml:space="preserve">Guidelines from the Canadian Cardiovascular Society, European Society of Cardiology, and the American College of Emergency Physicians recommend obtaining a detailed history and performing a physical examination, standard 12-lead electrocardiography (ECG), and orthostatic blood pressure measurement in patients presenting with syncope. </w:t>
            </w:r>
          </w:p>
          <w:p w14:paraId="131252EE" w14:textId="77777777" w:rsidR="002B5A91" w:rsidRPr="00262A6B" w:rsidRDefault="002B5A91" w:rsidP="003F1631">
            <w:pPr>
              <w:pStyle w:val="NoSpacing"/>
              <w:rPr>
                <w:rFonts w:eastAsia="Times New Roman"/>
                <w:szCs w:val="24"/>
              </w:rPr>
            </w:pPr>
          </w:p>
          <w:p w14:paraId="410438A5" w14:textId="77777777" w:rsidR="002B5A91" w:rsidRPr="00262A6B" w:rsidRDefault="002B5A91" w:rsidP="003F1631">
            <w:pPr>
              <w:pStyle w:val="NoSpacing"/>
              <w:rPr>
                <w:rFonts w:eastAsia="Times New Roman"/>
                <w:szCs w:val="24"/>
              </w:rPr>
            </w:pPr>
            <w:r w:rsidRPr="00262A6B">
              <w:rPr>
                <w:rFonts w:eastAsia="Times New Roman"/>
                <w:szCs w:val="24"/>
              </w:rPr>
              <w:t xml:space="preserve">High-risk patients should be admitted for monitoring and further workup. </w:t>
            </w:r>
          </w:p>
          <w:p w14:paraId="59FDF705" w14:textId="77777777" w:rsidR="002B5A91" w:rsidRPr="00262A6B" w:rsidRDefault="002B5A91" w:rsidP="003F1631">
            <w:pPr>
              <w:pStyle w:val="NoSpacing"/>
              <w:rPr>
                <w:rFonts w:eastAsia="Times New Roman"/>
                <w:szCs w:val="24"/>
              </w:rPr>
            </w:pPr>
          </w:p>
          <w:p w14:paraId="7EFA55ED" w14:textId="77777777" w:rsidR="002B5A91" w:rsidRPr="00262A6B" w:rsidRDefault="002B5A91" w:rsidP="003F1631">
            <w:pPr>
              <w:pStyle w:val="NoSpacing"/>
              <w:rPr>
                <w:rFonts w:eastAsia="Times New Roman"/>
                <w:szCs w:val="24"/>
              </w:rPr>
            </w:pPr>
            <w:r w:rsidRPr="00262A6B">
              <w:rPr>
                <w:rFonts w:eastAsia="Times New Roman"/>
                <w:szCs w:val="24"/>
              </w:rPr>
              <w:t xml:space="preserve">The history should also assist in classifying patients as low or high risk. </w:t>
            </w:r>
          </w:p>
          <w:p w14:paraId="64BF6081" w14:textId="77777777" w:rsidR="002B5A91" w:rsidRPr="00262A6B" w:rsidRDefault="002B5A91" w:rsidP="003F1631">
            <w:pPr>
              <w:pStyle w:val="NoSpacing"/>
              <w:ind w:left="720"/>
              <w:rPr>
                <w:rFonts w:eastAsia="Times New Roman"/>
                <w:szCs w:val="24"/>
              </w:rPr>
            </w:pPr>
          </w:p>
          <w:p w14:paraId="1CE61500" w14:textId="77777777" w:rsidR="002B5A91" w:rsidRPr="00262A6B" w:rsidRDefault="002B5A91" w:rsidP="003F1631">
            <w:pPr>
              <w:pStyle w:val="NoSpacing"/>
              <w:rPr>
                <w:rFonts w:eastAsia="Times New Roman"/>
                <w:szCs w:val="24"/>
              </w:rPr>
            </w:pPr>
            <w:r w:rsidRPr="00262A6B">
              <w:rPr>
                <w:rFonts w:eastAsia="Times New Roman"/>
                <w:szCs w:val="24"/>
              </w:rPr>
              <w:t xml:space="preserve">ECG generally has a low diagnostic yield (approximately 3% to 5%) but is recommended for all patients with syncope. </w:t>
            </w:r>
          </w:p>
          <w:p w14:paraId="41C05633" w14:textId="77777777" w:rsidR="002B5A91" w:rsidRPr="00262A6B" w:rsidRDefault="002B5A91" w:rsidP="003F1631">
            <w:pPr>
              <w:pStyle w:val="NoSpacing"/>
              <w:ind w:left="720"/>
              <w:rPr>
                <w:rFonts w:eastAsia="Times New Roman"/>
                <w:szCs w:val="24"/>
              </w:rPr>
            </w:pPr>
          </w:p>
          <w:p w14:paraId="0AB7BB05" w14:textId="77777777" w:rsidR="002B5A91" w:rsidRPr="00262A6B" w:rsidRDefault="002B5A91" w:rsidP="003F1631">
            <w:pPr>
              <w:pStyle w:val="NoSpacing"/>
              <w:rPr>
                <w:rFonts w:eastAsia="Times New Roman"/>
                <w:szCs w:val="24"/>
              </w:rPr>
            </w:pPr>
            <w:r w:rsidRPr="00262A6B">
              <w:rPr>
                <w:rFonts w:eastAsia="Times New Roman"/>
                <w:szCs w:val="24"/>
              </w:rPr>
              <w:t>Two studies (n = more than 310) found echocardiography to be clinically useful in patients with syncope if there is a history of cardiac disease, abnormal ECG findings, or suspected significant valvular disease.</w:t>
            </w:r>
          </w:p>
          <w:p w14:paraId="458E7626" w14:textId="77777777" w:rsidR="002B5A91" w:rsidRPr="00262A6B" w:rsidRDefault="002B5A91" w:rsidP="003F1631">
            <w:pPr>
              <w:pStyle w:val="NoSpacing"/>
              <w:rPr>
                <w:rFonts w:eastAsia="Times New Roman"/>
                <w:szCs w:val="24"/>
              </w:rPr>
            </w:pPr>
          </w:p>
          <w:p w14:paraId="055766A7" w14:textId="77777777" w:rsidR="002B5A91" w:rsidRPr="00262A6B" w:rsidRDefault="002B5A91" w:rsidP="003F1631">
            <w:pPr>
              <w:pStyle w:val="NoSpacing"/>
              <w:rPr>
                <w:rFonts w:eastAsia="Times New Roman"/>
                <w:szCs w:val="24"/>
              </w:rPr>
            </w:pPr>
            <w:r w:rsidRPr="00262A6B">
              <w:rPr>
                <w:rFonts w:eastAsia="Times New Roman"/>
                <w:szCs w:val="24"/>
              </w:rPr>
              <w:t xml:space="preserve">Continuous cardiac monitoring is the diagnostic standard to establish a correlation between symptoms and ECG findings. Devices include Holter monitors (generally up to 72 hours), external loop recorders (typically four to six weeks), and implantable loop recorders (up to three years). The diagnostic yield improves with prolonged monitoring </w:t>
            </w:r>
          </w:p>
          <w:p w14:paraId="0509B5CA" w14:textId="77777777" w:rsidR="002B5A91" w:rsidRPr="00262A6B" w:rsidRDefault="002B5A91" w:rsidP="003F1631">
            <w:pPr>
              <w:pStyle w:val="NoSpacing"/>
              <w:ind w:left="720"/>
              <w:rPr>
                <w:rFonts w:eastAsia="Times New Roman"/>
                <w:szCs w:val="24"/>
              </w:rPr>
            </w:pPr>
          </w:p>
          <w:p w14:paraId="608FC4CC" w14:textId="77777777" w:rsidR="002B5A91" w:rsidRPr="00262A6B" w:rsidRDefault="002B5A91" w:rsidP="003F1631">
            <w:pPr>
              <w:pStyle w:val="NoSpacing"/>
              <w:rPr>
                <w:rFonts w:eastAsia="Times New Roman"/>
                <w:szCs w:val="24"/>
              </w:rPr>
            </w:pPr>
            <w:r w:rsidRPr="00262A6B">
              <w:rPr>
                <w:rFonts w:eastAsia="Times New Roman"/>
                <w:szCs w:val="24"/>
              </w:rPr>
              <w:t xml:space="preserve">Provocative testing strategies include head-up tilt testing, exercise testing, and electrophysiologic studies. The head-up tilt test is a safe procedure </w:t>
            </w:r>
            <w:r w:rsidRPr="00262A6B">
              <w:rPr>
                <w:rFonts w:eastAsia="Times New Roman"/>
                <w:szCs w:val="24"/>
              </w:rPr>
              <w:lastRenderedPageBreak/>
              <w:t xml:space="preserve">designed to precipitate hypotension and bradycardia and is used to confirm the diagnosis of </w:t>
            </w:r>
            <w:proofErr w:type="spellStart"/>
            <w:r w:rsidRPr="00262A6B">
              <w:rPr>
                <w:rFonts w:eastAsia="Times New Roman"/>
                <w:szCs w:val="24"/>
              </w:rPr>
              <w:t>neurally</w:t>
            </w:r>
            <w:proofErr w:type="spellEnd"/>
            <w:r w:rsidRPr="00262A6B">
              <w:rPr>
                <w:rFonts w:eastAsia="Times New Roman"/>
                <w:szCs w:val="24"/>
              </w:rPr>
              <w:t xml:space="preserve"> mediated syncope in patients with an intermediate pretest probability. Persons in high-risk settings with unexplained syncope should also be considered for testing. </w:t>
            </w:r>
          </w:p>
          <w:p w14:paraId="067DABB7" w14:textId="77777777" w:rsidR="002B5A91" w:rsidRPr="00262A6B" w:rsidRDefault="002B5A91" w:rsidP="003F1631">
            <w:pPr>
              <w:pStyle w:val="NoSpacing"/>
              <w:rPr>
                <w:rFonts w:eastAsia="Times New Roman"/>
                <w:szCs w:val="24"/>
              </w:rPr>
            </w:pPr>
          </w:p>
          <w:p w14:paraId="1E314AA6" w14:textId="77777777" w:rsidR="002B5A91" w:rsidRPr="0072711B" w:rsidRDefault="002B5A91" w:rsidP="003F1631">
            <w:pPr>
              <w:pStyle w:val="NoSpacing"/>
              <w:rPr>
                <w:rFonts w:eastAsia="Times New Roman"/>
                <w:szCs w:val="24"/>
              </w:rPr>
            </w:pPr>
            <w:r w:rsidRPr="00262A6B">
              <w:rPr>
                <w:rFonts w:eastAsia="Times New Roman"/>
                <w:szCs w:val="24"/>
              </w:rPr>
              <w:t>Management of cardiac syncope is directed at the underlying etiology. Options include antiarrhythmic drugs, cardiac pacing, catheter-directed ablation, and, rarely, implantable cardioverter-defibrillator placement.</w:t>
            </w:r>
          </w:p>
        </w:tc>
      </w:tr>
      <w:tr w:rsidR="002B5A91" w:rsidRPr="002873AD" w14:paraId="72008547" w14:textId="77777777" w:rsidTr="003F1631">
        <w:trPr>
          <w:trHeight w:val="144"/>
        </w:trPr>
        <w:tc>
          <w:tcPr>
            <w:tcW w:w="2162" w:type="dxa"/>
            <w:shd w:val="clear" w:color="auto" w:fill="D9D9D9"/>
          </w:tcPr>
          <w:p w14:paraId="5AAD632E" w14:textId="77777777" w:rsidR="002B5A91" w:rsidRPr="002873AD" w:rsidRDefault="002B5A91" w:rsidP="003F1631">
            <w:pPr>
              <w:pStyle w:val="NoSpacing"/>
              <w:rPr>
                <w:b/>
                <w:sz w:val="12"/>
                <w:szCs w:val="12"/>
              </w:rPr>
            </w:pPr>
          </w:p>
        </w:tc>
        <w:tc>
          <w:tcPr>
            <w:tcW w:w="7378" w:type="dxa"/>
            <w:shd w:val="clear" w:color="auto" w:fill="D9D9D9"/>
          </w:tcPr>
          <w:p w14:paraId="48C2BE04" w14:textId="77777777" w:rsidR="002B5A91" w:rsidRPr="0072711B" w:rsidRDefault="002B5A91" w:rsidP="003F1631">
            <w:pPr>
              <w:pStyle w:val="NoSpacing"/>
              <w:rPr>
                <w:sz w:val="12"/>
                <w:szCs w:val="24"/>
              </w:rPr>
            </w:pPr>
          </w:p>
        </w:tc>
      </w:tr>
      <w:tr w:rsidR="002B5A91" w:rsidRPr="002873AD" w14:paraId="3B77F0C0" w14:textId="77777777" w:rsidTr="003F1631">
        <w:tc>
          <w:tcPr>
            <w:tcW w:w="2162" w:type="dxa"/>
            <w:tcBorders>
              <w:top w:val="single" w:sz="4" w:space="0" w:color="auto"/>
              <w:left w:val="single" w:sz="4" w:space="0" w:color="auto"/>
              <w:bottom w:val="single" w:sz="4" w:space="0" w:color="auto"/>
              <w:right w:val="single" w:sz="4" w:space="0" w:color="auto"/>
            </w:tcBorders>
          </w:tcPr>
          <w:p w14:paraId="1905EF3A" w14:textId="77777777" w:rsidR="002B5A91" w:rsidRPr="009E4E24" w:rsidRDefault="002B5A91" w:rsidP="003F1631">
            <w:pPr>
              <w:pStyle w:val="NoSpacing"/>
              <w:rPr>
                <w:b/>
                <w:szCs w:val="24"/>
              </w:rPr>
            </w:pPr>
            <w:r w:rsidRPr="002873AD">
              <w:rPr>
                <w:b/>
                <w:szCs w:val="24"/>
              </w:rPr>
              <w:t xml:space="preserve">Source/Reference </w:t>
            </w:r>
          </w:p>
        </w:tc>
        <w:tc>
          <w:tcPr>
            <w:tcW w:w="7378" w:type="dxa"/>
            <w:tcBorders>
              <w:top w:val="single" w:sz="4" w:space="0" w:color="auto"/>
              <w:left w:val="single" w:sz="4" w:space="0" w:color="auto"/>
              <w:bottom w:val="single" w:sz="4" w:space="0" w:color="auto"/>
              <w:right w:val="single" w:sz="4" w:space="0" w:color="auto"/>
            </w:tcBorders>
          </w:tcPr>
          <w:p w14:paraId="13B7566B" w14:textId="77777777" w:rsidR="002B5A91" w:rsidRPr="00363476" w:rsidRDefault="002B5A91" w:rsidP="003F1631">
            <w:pPr>
              <w:pStyle w:val="NoSpacing"/>
              <w:rPr>
                <w:b/>
                <w:szCs w:val="24"/>
              </w:rPr>
            </w:pPr>
            <w:r w:rsidRPr="00363476">
              <w:rPr>
                <w:b/>
                <w:szCs w:val="24"/>
              </w:rPr>
              <w:t xml:space="preserve">Koene, R. J., Adkisson, W. O., &amp; Benditt, D. G. (2017). Syncope and the risk of sudden cardiac death: Evaluation, management, and prevention. Journal of arrhythmia, 33(6), 533–544. https://doi.org/10.1016/j.joa.2017.07.005 </w:t>
            </w:r>
          </w:p>
          <w:p w14:paraId="7B7B123F" w14:textId="77777777" w:rsidR="002B5A91" w:rsidRPr="0072711B" w:rsidRDefault="002B5A91" w:rsidP="003F1631">
            <w:pPr>
              <w:pStyle w:val="NoSpacing"/>
              <w:rPr>
                <w:b/>
                <w:szCs w:val="24"/>
              </w:rPr>
            </w:pPr>
            <w:r w:rsidRPr="00363476">
              <w:rPr>
                <w:b/>
                <w:szCs w:val="24"/>
              </w:rPr>
              <w:t>https://www.ncbi.nlm.nih.gov/pmc/articles/PMC5728985/</w:t>
            </w:r>
          </w:p>
        </w:tc>
      </w:tr>
      <w:tr w:rsidR="002B5A91" w:rsidRPr="002873AD" w14:paraId="69FEDAE9" w14:textId="77777777" w:rsidTr="003F1631">
        <w:tc>
          <w:tcPr>
            <w:tcW w:w="2162" w:type="dxa"/>
            <w:tcBorders>
              <w:top w:val="single" w:sz="4" w:space="0" w:color="auto"/>
              <w:left w:val="single" w:sz="4" w:space="0" w:color="auto"/>
              <w:bottom w:val="single" w:sz="4" w:space="0" w:color="auto"/>
              <w:right w:val="single" w:sz="4" w:space="0" w:color="auto"/>
            </w:tcBorders>
          </w:tcPr>
          <w:p w14:paraId="035BC4F4" w14:textId="77777777" w:rsidR="002B5A91" w:rsidRPr="002873AD" w:rsidRDefault="002B5A91" w:rsidP="003F1631">
            <w:pPr>
              <w:pStyle w:val="NoSpacing"/>
              <w:rPr>
                <w:b/>
                <w:szCs w:val="24"/>
              </w:rPr>
            </w:pPr>
            <w:r w:rsidRPr="002873AD">
              <w:rPr>
                <w:b/>
                <w:szCs w:val="24"/>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tcPr>
          <w:p w14:paraId="729F77E4" w14:textId="77777777" w:rsidR="002B5A91" w:rsidRPr="00363476" w:rsidRDefault="002B5A91" w:rsidP="003F1631">
            <w:pPr>
              <w:pStyle w:val="NoSpacing"/>
              <w:rPr>
                <w:szCs w:val="24"/>
              </w:rPr>
            </w:pPr>
            <w:r w:rsidRPr="00363476">
              <w:rPr>
                <w:szCs w:val="24"/>
              </w:rPr>
              <w:t xml:space="preserve">The causes of syncope are diverse, but in most instances, are relatively benign (e.g., reflex and orthostatic faints) with the main risks being accidents and/or injury. However, in some instances, syncope may be due to more worrisome conditions (particularly those associated with cardiac structural disease or channelopathies); in such circumstances, syncope may be an indicator of increased morbidity and mortality risk, including sudden cardiac death (SCD). </w:t>
            </w:r>
          </w:p>
          <w:p w14:paraId="6AC748F5" w14:textId="77777777" w:rsidR="002B5A91" w:rsidRPr="00363476" w:rsidRDefault="002B5A91" w:rsidP="003F1631">
            <w:pPr>
              <w:pStyle w:val="NoSpacing"/>
              <w:ind w:left="720"/>
              <w:rPr>
                <w:szCs w:val="24"/>
              </w:rPr>
            </w:pPr>
          </w:p>
          <w:p w14:paraId="7A46C4D4" w14:textId="77777777" w:rsidR="002B5A91" w:rsidRPr="00363476" w:rsidRDefault="002B5A91" w:rsidP="003F1631">
            <w:pPr>
              <w:pStyle w:val="NoSpacing"/>
              <w:rPr>
                <w:szCs w:val="24"/>
              </w:rPr>
            </w:pPr>
            <w:r w:rsidRPr="00363476">
              <w:rPr>
                <w:szCs w:val="24"/>
              </w:rPr>
              <w:t xml:space="preserve">Abnormal electrical activity associated with SCD may be broadly classified as being tachyarrhythmias and non-tachyarrhythmias. The former includes ventricular fibrillation (VF) and pulseless ventricular tachycardia (VT), which most often arise from cardiac causes; only rarely are they due to non-cardiac causes (e.g., pulmonary embolism). In any case, these life-threatening arrhythmias require urgent therapy, specifically direct current (DC) shock and often other interventional cardiac procedures. The non-tachyarrhythmia group includes pulseless electrical activity (PEA), asystole, and extreme bradycardia. While commonly associated with non-cardiac factors (e.g., major pulmonary embolism), PEA may have a primary cardiac cause, including severe pump failure and acute coronary syndrome. Secondary cardiac causes of PEA include those that occur following spontaneous or electrical termination of VT or VF. </w:t>
            </w:r>
          </w:p>
          <w:p w14:paraId="07F9F387" w14:textId="77777777" w:rsidR="002B5A91" w:rsidRPr="00363476" w:rsidRDefault="002B5A91" w:rsidP="003F1631">
            <w:pPr>
              <w:pStyle w:val="NoSpacing"/>
              <w:ind w:left="720"/>
              <w:rPr>
                <w:szCs w:val="24"/>
              </w:rPr>
            </w:pPr>
          </w:p>
          <w:p w14:paraId="1B0034EC" w14:textId="77777777" w:rsidR="002B5A91" w:rsidRPr="00363476" w:rsidRDefault="002B5A91" w:rsidP="003F1631">
            <w:pPr>
              <w:pStyle w:val="NoSpacing"/>
              <w:rPr>
                <w:szCs w:val="24"/>
              </w:rPr>
            </w:pPr>
            <w:r w:rsidRPr="00363476">
              <w:rPr>
                <w:szCs w:val="24"/>
              </w:rPr>
              <w:t xml:space="preserve">In industrialized countries and, most likely as well, in developing economies, the most common cardiac cause of SCD is myocardial ischemia due to atherosclerotic coronary artery disease (CAD). </w:t>
            </w:r>
          </w:p>
          <w:p w14:paraId="71FB0205" w14:textId="77777777" w:rsidR="002B5A91" w:rsidRPr="00363476" w:rsidRDefault="002B5A91" w:rsidP="003F1631">
            <w:pPr>
              <w:pStyle w:val="NoSpacing"/>
              <w:rPr>
                <w:szCs w:val="24"/>
              </w:rPr>
            </w:pPr>
          </w:p>
          <w:p w14:paraId="4589742D" w14:textId="77777777" w:rsidR="002B5A91" w:rsidRPr="00363476" w:rsidRDefault="002B5A91" w:rsidP="003F1631">
            <w:pPr>
              <w:pStyle w:val="NoSpacing"/>
              <w:rPr>
                <w:szCs w:val="24"/>
              </w:rPr>
            </w:pPr>
            <w:r w:rsidRPr="00363476">
              <w:rPr>
                <w:szCs w:val="24"/>
              </w:rPr>
              <w:t>Syncope carries a poor prognosis in patients with pre-existing substantial cardiovascular morbidity. In a post-hoc analysis from the SCD-</w:t>
            </w:r>
            <w:proofErr w:type="spellStart"/>
            <w:r w:rsidRPr="00363476">
              <w:rPr>
                <w:szCs w:val="24"/>
              </w:rPr>
              <w:t>HeFT</w:t>
            </w:r>
            <w:proofErr w:type="spellEnd"/>
            <w:r w:rsidRPr="00363476">
              <w:rPr>
                <w:szCs w:val="24"/>
              </w:rPr>
              <w:t xml:space="preserve"> randomized controlled implantable cardioverter-defibrillator (ICD) trial, syncope after ICD implantation occurred in 14% of subjects and was </w:t>
            </w:r>
            <w:r w:rsidRPr="00363476">
              <w:rPr>
                <w:szCs w:val="24"/>
              </w:rPr>
              <w:lastRenderedPageBreak/>
              <w:t xml:space="preserve">associated with an increase in all-cause mortality, cardiovascular mortality, and SCD, despite randomization to an ICD.  </w:t>
            </w:r>
          </w:p>
          <w:p w14:paraId="453AADA7" w14:textId="77777777" w:rsidR="002B5A91" w:rsidRPr="00363476" w:rsidRDefault="002B5A91" w:rsidP="003F1631">
            <w:pPr>
              <w:pStyle w:val="NoSpacing"/>
              <w:rPr>
                <w:szCs w:val="24"/>
              </w:rPr>
            </w:pPr>
          </w:p>
          <w:p w14:paraId="7724A832" w14:textId="77777777" w:rsidR="002B5A91" w:rsidRPr="00363476" w:rsidRDefault="002B5A91" w:rsidP="003F1631">
            <w:pPr>
              <w:pStyle w:val="NoSpacing"/>
              <w:rPr>
                <w:szCs w:val="24"/>
              </w:rPr>
            </w:pPr>
            <w:r w:rsidRPr="00363476">
              <w:rPr>
                <w:szCs w:val="24"/>
              </w:rPr>
              <w:t>One mechanism of syncope associated with myocardial ischemia or acute MI, particularly in the case of an inferior MI, includes a reflex faint with both cardioinhibitory and vasodepressor components presumed to be due to the Bezold-</w:t>
            </w:r>
            <w:proofErr w:type="spellStart"/>
            <w:r w:rsidRPr="00363476">
              <w:rPr>
                <w:szCs w:val="24"/>
              </w:rPr>
              <w:t>Jarisch</w:t>
            </w:r>
            <w:proofErr w:type="spellEnd"/>
            <w:r w:rsidRPr="00363476">
              <w:rPr>
                <w:szCs w:val="24"/>
              </w:rPr>
              <w:t xml:space="preserve"> mechanism. </w:t>
            </w:r>
          </w:p>
          <w:p w14:paraId="54557FC6" w14:textId="77777777" w:rsidR="002B5A91" w:rsidRPr="00363476" w:rsidRDefault="002B5A91" w:rsidP="003F1631">
            <w:pPr>
              <w:pStyle w:val="NoSpacing"/>
              <w:rPr>
                <w:szCs w:val="24"/>
              </w:rPr>
            </w:pPr>
          </w:p>
          <w:p w14:paraId="6F13A146" w14:textId="77777777" w:rsidR="002B5A91" w:rsidRPr="00363476" w:rsidRDefault="002B5A91" w:rsidP="003F1631">
            <w:pPr>
              <w:pStyle w:val="NoSpacing"/>
              <w:rPr>
                <w:szCs w:val="24"/>
              </w:rPr>
            </w:pPr>
            <w:r w:rsidRPr="00363476">
              <w:rPr>
                <w:szCs w:val="24"/>
              </w:rPr>
              <w:t xml:space="preserve">Data from the LQTS Registry found recent syncope to be the most significant predictor of SCD, even greater than the degree of QT prolongation and genotype. </w:t>
            </w:r>
          </w:p>
          <w:p w14:paraId="5F1EEC2B" w14:textId="77777777" w:rsidR="002B5A91" w:rsidRPr="00363476" w:rsidRDefault="002B5A91" w:rsidP="003F1631">
            <w:pPr>
              <w:pStyle w:val="NoSpacing"/>
              <w:ind w:left="720"/>
              <w:rPr>
                <w:szCs w:val="24"/>
              </w:rPr>
            </w:pPr>
          </w:p>
          <w:p w14:paraId="405723A2" w14:textId="77777777" w:rsidR="002B5A91" w:rsidRPr="0072711B" w:rsidRDefault="002B5A91" w:rsidP="003F1631">
            <w:pPr>
              <w:pStyle w:val="NoSpacing"/>
              <w:rPr>
                <w:szCs w:val="24"/>
              </w:rPr>
            </w:pPr>
            <w:r w:rsidRPr="00363476">
              <w:rPr>
                <w:szCs w:val="24"/>
              </w:rPr>
              <w:t>In this regard, although syncope may be the first manifestation of an underlying cardiac disease, it may also present later as a heralding sign for SCD. It remains far from clear in many scenarios whether syncope is, itself, the driver of increased mortality in patients with cardiac diseases. Current understanding indicates that reduction of mortality in these patients requires aggressive management of the underlying cardiac condition, in addition to whatever specific therapy may be indicated for prevention of future syncope events.</w:t>
            </w:r>
          </w:p>
        </w:tc>
      </w:tr>
      <w:tr w:rsidR="002B5A91" w:rsidRPr="002873AD" w14:paraId="215E32C7" w14:textId="77777777" w:rsidTr="003F1631">
        <w:trPr>
          <w:trHeight w:val="144"/>
        </w:trPr>
        <w:tc>
          <w:tcPr>
            <w:tcW w:w="2162" w:type="dxa"/>
            <w:shd w:val="clear" w:color="auto" w:fill="D9D9D9"/>
          </w:tcPr>
          <w:p w14:paraId="71210D69" w14:textId="77777777" w:rsidR="002B5A91" w:rsidRPr="002873AD" w:rsidRDefault="002B5A91" w:rsidP="003F1631">
            <w:pPr>
              <w:pStyle w:val="NoSpacing"/>
              <w:rPr>
                <w:b/>
                <w:sz w:val="12"/>
                <w:szCs w:val="12"/>
              </w:rPr>
            </w:pPr>
          </w:p>
        </w:tc>
        <w:tc>
          <w:tcPr>
            <w:tcW w:w="7378" w:type="dxa"/>
            <w:shd w:val="clear" w:color="auto" w:fill="D9D9D9"/>
          </w:tcPr>
          <w:p w14:paraId="1C0C5D26" w14:textId="77777777" w:rsidR="002B5A91" w:rsidRPr="002873AD" w:rsidRDefault="002B5A91" w:rsidP="003F1631">
            <w:pPr>
              <w:pStyle w:val="NoSpacing"/>
              <w:rPr>
                <w:sz w:val="12"/>
                <w:szCs w:val="12"/>
              </w:rPr>
            </w:pPr>
          </w:p>
        </w:tc>
      </w:tr>
      <w:bookmarkEnd w:id="0"/>
    </w:tbl>
    <w:p w14:paraId="28B2A89E" w14:textId="77777777" w:rsidR="002128D4" w:rsidRDefault="002128D4" w:rsidP="002B5A91">
      <w:pPr>
        <w:pStyle w:val="NoSpacing"/>
        <w:rPr>
          <w:b/>
          <w:u w:val="single"/>
        </w:rPr>
      </w:pPr>
    </w:p>
    <w:p w14:paraId="0DB37F3D" w14:textId="68FB6FD7" w:rsidR="00423446" w:rsidRPr="002128D4" w:rsidRDefault="00423446" w:rsidP="006D4376">
      <w:pPr>
        <w:pStyle w:val="NoSpacing"/>
        <w:jc w:val="center"/>
        <w:rPr>
          <w:b/>
        </w:rPr>
      </w:pPr>
      <w:r w:rsidRPr="002128D4">
        <w:rPr>
          <w:b/>
        </w:rPr>
        <w:t>Conclusion</w:t>
      </w:r>
    </w:p>
    <w:p w14:paraId="3A25020E" w14:textId="77777777" w:rsidR="00044766" w:rsidRDefault="00044766" w:rsidP="006D4376">
      <w:pPr>
        <w:pStyle w:val="NoSpacing"/>
        <w:jc w:val="center"/>
        <w:rPr>
          <w:b/>
        </w:rPr>
      </w:pPr>
    </w:p>
    <w:p w14:paraId="116CB129" w14:textId="77777777" w:rsidR="002128D4" w:rsidRPr="002128D4" w:rsidRDefault="002128D4" w:rsidP="002128D4">
      <w:pPr>
        <w:spacing w:after="0" w:afterAutospacing="0"/>
        <w:rPr>
          <w:rFonts w:eastAsia="Times New Roman"/>
          <w:color w:val="000000"/>
        </w:rPr>
      </w:pPr>
      <w:r w:rsidRPr="002128D4">
        <w:rPr>
          <w:rFonts w:eastAsia="Times New Roman"/>
          <w:color w:val="000000"/>
        </w:rPr>
        <w:fldChar w:fldCharType="begin"/>
      </w:r>
      <w:r w:rsidRPr="002128D4">
        <w:rPr>
          <w:rFonts w:eastAsia="Times New Roman"/>
          <w:color w:val="000000"/>
        </w:rPr>
        <w:instrText xml:space="preserve"> MERGEFIELD Prior_Reviewing_Agency </w:instrText>
      </w:r>
      <w:r w:rsidRPr="002128D4">
        <w:rPr>
          <w:rFonts w:eastAsia="Times New Roman"/>
          <w:color w:val="000000"/>
        </w:rPr>
        <w:fldChar w:fldCharType="separate"/>
      </w:r>
      <w:r w:rsidRPr="002128D4">
        <w:rPr>
          <w:rFonts w:eastAsia="Times New Roman"/>
          <w:noProof/>
          <w:color w:val="000000"/>
        </w:rPr>
        <w:t>«Prior_Reviewing_Agency»</w:t>
      </w:r>
      <w:r w:rsidRPr="002128D4">
        <w:rPr>
          <w:rFonts w:eastAsia="Times New Roman"/>
          <w:color w:val="000000"/>
        </w:rPr>
        <w:fldChar w:fldCharType="end"/>
      </w:r>
      <w:r w:rsidRPr="002128D4">
        <w:rPr>
          <w:rFonts w:eastAsia="Times New Roman"/>
          <w:color w:val="000000"/>
        </w:rPr>
        <w:t xml:space="preserve">’s denial of this claim violated the law. </w:t>
      </w:r>
      <w:r w:rsidR="00F374AC">
        <w:fldChar w:fldCharType="begin"/>
      </w:r>
      <w:r w:rsidR="00F374AC">
        <w:instrText xml:space="preserve"> MERGEFIELD Facility </w:instrText>
      </w:r>
      <w:r w:rsidR="00F374AC">
        <w:fldChar w:fldCharType="separate"/>
      </w:r>
      <w:r w:rsidRPr="002128D4">
        <w:rPr>
          <w:noProof/>
        </w:rPr>
        <w:t>«Facility»</w:t>
      </w:r>
      <w:r w:rsidR="00F374AC">
        <w:rPr>
          <w:noProof/>
        </w:rPr>
        <w:fldChar w:fldCharType="end"/>
      </w:r>
      <w:r w:rsidRPr="002128D4">
        <w:rPr>
          <w:rFonts w:eastAsia="Times New Roman"/>
          <w:color w:val="FF0000"/>
        </w:rPr>
        <w:t xml:space="preserve"> </w:t>
      </w:r>
      <w:r w:rsidRPr="002128D4">
        <w:rPr>
          <w:rFonts w:eastAsia="Times New Roman"/>
          <w:color w:val="000000"/>
        </w:rPr>
        <w:t xml:space="preserve">will fully exercise its rights under law and contract, including reporting </w:t>
      </w:r>
      <w:r w:rsidRPr="002128D4">
        <w:rPr>
          <w:rFonts w:eastAsia="Times New Roman"/>
          <w:color w:val="000000"/>
        </w:rPr>
        <w:fldChar w:fldCharType="begin"/>
      </w:r>
      <w:r w:rsidRPr="002128D4">
        <w:rPr>
          <w:rFonts w:eastAsia="Times New Roman"/>
          <w:color w:val="000000"/>
        </w:rPr>
        <w:instrText xml:space="preserve"> MERGEFIELD Prior_Reviewing_Agency </w:instrText>
      </w:r>
      <w:r w:rsidRPr="002128D4">
        <w:rPr>
          <w:rFonts w:eastAsia="Times New Roman"/>
          <w:color w:val="000000"/>
        </w:rPr>
        <w:fldChar w:fldCharType="separate"/>
      </w:r>
      <w:r w:rsidRPr="002128D4">
        <w:rPr>
          <w:rFonts w:eastAsia="Times New Roman"/>
          <w:noProof/>
          <w:color w:val="000000"/>
        </w:rPr>
        <w:t>«Prior_Reviewing_Agency»</w:t>
      </w:r>
      <w:r w:rsidRPr="002128D4">
        <w:rPr>
          <w:rFonts w:eastAsia="Times New Roman"/>
          <w:color w:val="000000"/>
        </w:rPr>
        <w:fldChar w:fldCharType="end"/>
      </w:r>
      <w:r w:rsidRPr="002128D4">
        <w:rPr>
          <w:rFonts w:eastAsia="Times New Roman"/>
          <w:color w:val="000000"/>
        </w:rPr>
        <w:t xml:space="preserve"> to the </w:t>
      </w:r>
      <w:r w:rsidRPr="002128D4">
        <w:rPr>
          <w:rFonts w:eastAsia="Times New Roman"/>
        </w:rPr>
        <w:t>State’s department of insurance</w:t>
      </w:r>
      <w:r w:rsidRPr="002128D4">
        <w:rPr>
          <w:rFonts w:eastAsia="Times New Roman"/>
          <w:color w:val="000000"/>
        </w:rPr>
        <w:t xml:space="preserve">, the Centers for Medicare and Medicaid Services, or the Employee Benefits Security Administration; and pursuing any other process or recourse available. </w:t>
      </w:r>
      <w:r w:rsidRPr="002128D4">
        <w:rPr>
          <w:rFonts w:eastAsia="Times New Roman"/>
          <w:color w:val="000000"/>
        </w:rPr>
        <w:fldChar w:fldCharType="begin"/>
      </w:r>
      <w:r w:rsidRPr="002128D4">
        <w:rPr>
          <w:rFonts w:eastAsia="Times New Roman"/>
          <w:color w:val="000000"/>
        </w:rPr>
        <w:instrText xml:space="preserve"> MERGEFIELD Prior_Reviewing_Agency </w:instrText>
      </w:r>
      <w:r w:rsidRPr="002128D4">
        <w:rPr>
          <w:rFonts w:eastAsia="Times New Roman"/>
          <w:color w:val="000000"/>
        </w:rPr>
        <w:fldChar w:fldCharType="separate"/>
      </w:r>
      <w:r w:rsidRPr="002128D4">
        <w:rPr>
          <w:rFonts w:eastAsia="Times New Roman"/>
          <w:noProof/>
          <w:color w:val="000000"/>
        </w:rPr>
        <w:t>«Prior_Reviewing_Agency»</w:t>
      </w:r>
      <w:r w:rsidRPr="002128D4">
        <w:rPr>
          <w:rFonts w:eastAsia="Times New Roman"/>
          <w:color w:val="000000"/>
        </w:rPr>
        <w:fldChar w:fldCharType="end"/>
      </w:r>
      <w:r w:rsidRPr="002128D4">
        <w:rPr>
          <w:rFonts w:eastAsia="Times New Roman"/>
          <w:color w:val="000000"/>
        </w:rPr>
        <w:t xml:space="preserve"> must authorize and pay this claim in accordance with the law to avoid such action.</w:t>
      </w:r>
    </w:p>
    <w:p w14:paraId="11D53555" w14:textId="77777777" w:rsidR="002128D4" w:rsidRPr="002128D4" w:rsidRDefault="002128D4" w:rsidP="002128D4">
      <w:pPr>
        <w:spacing w:after="0" w:afterAutospacing="0"/>
      </w:pPr>
    </w:p>
    <w:p w14:paraId="3B6BC3A3" w14:textId="77777777" w:rsidR="002128D4" w:rsidRPr="002128D4" w:rsidRDefault="002128D4" w:rsidP="002128D4">
      <w:pPr>
        <w:spacing w:after="0" w:afterAutospacing="0"/>
      </w:pPr>
      <w:r w:rsidRPr="002128D4">
        <w:fldChar w:fldCharType="begin"/>
      </w:r>
      <w:r w:rsidRPr="002128D4">
        <w:instrText>MERGEFIELD Facility</w:instrText>
      </w:r>
      <w:r w:rsidRPr="002128D4">
        <w:fldChar w:fldCharType="separate"/>
      </w:r>
      <w:r w:rsidRPr="002128D4">
        <w:rPr>
          <w:noProof/>
        </w:rPr>
        <w:t>«Facility»</w:t>
      </w:r>
      <w:r w:rsidRPr="002128D4">
        <w:fldChar w:fldCharType="end"/>
      </w:r>
      <w:r w:rsidRPr="002128D4">
        <w:t xml:space="preserve"> provided medically necessary services to </w:t>
      </w:r>
      <w:r w:rsidRPr="002128D4">
        <w:fldChar w:fldCharType="begin"/>
      </w:r>
      <w:r w:rsidRPr="002128D4">
        <w:instrText xml:space="preserve"> MERGEFIELD </w:instrText>
      </w:r>
      <w:r w:rsidRPr="002128D4">
        <w:rPr>
          <w:bCs/>
          <w:lang w:bidi="en-US"/>
        </w:rPr>
        <w:instrText>PAT_Full_Name</w:instrText>
      </w:r>
      <w:r w:rsidRPr="002128D4">
        <w:instrText xml:space="preserve"> </w:instrText>
      </w:r>
      <w:r w:rsidRPr="002128D4">
        <w:fldChar w:fldCharType="separate"/>
      </w:r>
      <w:r w:rsidRPr="002128D4">
        <w:rPr>
          <w:noProof/>
        </w:rPr>
        <w:t>«PAT_Full_Name»</w:t>
      </w:r>
      <w:r w:rsidRPr="002128D4">
        <w:fldChar w:fldCharType="end"/>
      </w:r>
      <w:r w:rsidRPr="002128D4">
        <w:t xml:space="preserve"> with the expectation that those services would be reimbursed according to the documentation in all payer communications. </w:t>
      </w:r>
      <w:r w:rsidRPr="002128D4">
        <w:rPr>
          <w:rFonts w:eastAsia="Times New Roman"/>
          <w:color w:val="000000"/>
        </w:rPr>
        <w:fldChar w:fldCharType="begin"/>
      </w:r>
      <w:r w:rsidRPr="002128D4">
        <w:rPr>
          <w:rFonts w:eastAsia="Times New Roman"/>
          <w:color w:val="000000"/>
        </w:rPr>
        <w:instrText xml:space="preserve"> MERGEFIELD Prior_Reviewing_Agency </w:instrText>
      </w:r>
      <w:r w:rsidRPr="002128D4">
        <w:rPr>
          <w:rFonts w:eastAsia="Times New Roman"/>
          <w:color w:val="000000"/>
        </w:rPr>
        <w:fldChar w:fldCharType="separate"/>
      </w:r>
      <w:r w:rsidRPr="002128D4">
        <w:rPr>
          <w:rFonts w:eastAsia="Times New Roman"/>
          <w:noProof/>
          <w:color w:val="000000"/>
        </w:rPr>
        <w:t>«Prior_Reviewing_Agency»</w:t>
      </w:r>
      <w:r w:rsidRPr="002128D4">
        <w:rPr>
          <w:rFonts w:eastAsia="Times New Roman"/>
          <w:color w:val="000000"/>
        </w:rPr>
        <w:fldChar w:fldCharType="end"/>
      </w:r>
      <w:r w:rsidRPr="002128D4">
        <w:t xml:space="preserve"> must reconsider this claim and submit payment to </w:t>
      </w:r>
      <w:r w:rsidRPr="002128D4">
        <w:fldChar w:fldCharType="begin"/>
      </w:r>
      <w:r w:rsidRPr="002128D4">
        <w:instrText>MERGEFIELD Facility</w:instrText>
      </w:r>
      <w:r w:rsidRPr="002128D4">
        <w:fldChar w:fldCharType="separate"/>
      </w:r>
      <w:r w:rsidRPr="002128D4">
        <w:rPr>
          <w:noProof/>
        </w:rPr>
        <w:t>«Facility»</w:t>
      </w:r>
      <w:r w:rsidRPr="002128D4">
        <w:fldChar w:fldCharType="end"/>
      </w:r>
      <w:r w:rsidRPr="002128D4">
        <w:t xml:space="preserve"> for the services provided to </w:t>
      </w:r>
      <w:r w:rsidRPr="002128D4">
        <w:fldChar w:fldCharType="begin"/>
      </w:r>
      <w:r w:rsidRPr="002128D4">
        <w:instrText xml:space="preserve"> MERGEFIELD </w:instrText>
      </w:r>
      <w:r w:rsidRPr="002128D4">
        <w:rPr>
          <w:bCs/>
          <w:lang w:bidi="en-US"/>
        </w:rPr>
        <w:instrText>PAT_Full_Name</w:instrText>
      </w:r>
      <w:r w:rsidRPr="002128D4">
        <w:instrText xml:space="preserve"> </w:instrText>
      </w:r>
      <w:r w:rsidRPr="002128D4">
        <w:fldChar w:fldCharType="separate"/>
      </w:r>
      <w:r w:rsidRPr="002128D4">
        <w:rPr>
          <w:noProof/>
        </w:rPr>
        <w:t>«PAT_Full_Name»</w:t>
      </w:r>
      <w:r w:rsidRPr="002128D4">
        <w:fldChar w:fldCharType="end"/>
      </w:r>
      <w:r w:rsidRPr="002128D4">
        <w:t xml:space="preserve"> in this case (including any monies due under the State’s prompt payment laws). </w:t>
      </w:r>
    </w:p>
    <w:p w14:paraId="303D222D" w14:textId="77777777" w:rsidR="002128D4" w:rsidRPr="002128D4" w:rsidRDefault="002128D4" w:rsidP="002128D4">
      <w:pPr>
        <w:spacing w:after="0" w:afterAutospacing="0"/>
      </w:pPr>
    </w:p>
    <w:p w14:paraId="3454E9A5" w14:textId="77777777" w:rsidR="002128D4" w:rsidRPr="002128D4" w:rsidRDefault="002128D4" w:rsidP="002128D4">
      <w:pPr>
        <w:spacing w:after="0" w:afterAutospacing="0"/>
      </w:pPr>
      <w:r w:rsidRPr="002128D4">
        <w:t>Please contact me should you have any questions.</w:t>
      </w:r>
    </w:p>
    <w:p w14:paraId="38943BDA" w14:textId="77777777" w:rsidR="002128D4" w:rsidRPr="002128D4" w:rsidRDefault="002128D4" w:rsidP="002128D4">
      <w:pPr>
        <w:spacing w:after="0" w:afterAutospacing="0"/>
      </w:pPr>
    </w:p>
    <w:p w14:paraId="29C8FD07" w14:textId="77777777" w:rsidR="002128D4" w:rsidRPr="002128D4" w:rsidRDefault="002128D4" w:rsidP="002128D4">
      <w:pPr>
        <w:spacing w:after="0" w:afterAutospacing="0"/>
      </w:pPr>
      <w:r w:rsidRPr="002128D4">
        <w:t>Respectfully,</w:t>
      </w:r>
    </w:p>
    <w:p w14:paraId="1E9FBF6D" w14:textId="77777777" w:rsidR="002128D4" w:rsidRPr="002128D4" w:rsidRDefault="002128D4" w:rsidP="002128D4">
      <w:pPr>
        <w:spacing w:after="0" w:afterAutospacing="0"/>
        <w:rPr>
          <w:noProof/>
        </w:rPr>
      </w:pPr>
    </w:p>
    <w:p w14:paraId="717F6FD1" w14:textId="77777777" w:rsidR="002128D4" w:rsidRPr="002128D4" w:rsidRDefault="002128D4" w:rsidP="002128D4">
      <w:pPr>
        <w:spacing w:after="0" w:afterAutospacing="0"/>
        <w:rPr>
          <w:noProof/>
        </w:rPr>
      </w:pPr>
      <w:r w:rsidRPr="002128D4">
        <w:rPr>
          <w:noProof/>
        </w:rPr>
        <w:t>Image_Signature</w:t>
      </w:r>
    </w:p>
    <w:p w14:paraId="40F1A01C" w14:textId="77777777" w:rsidR="002128D4" w:rsidRPr="002128D4" w:rsidRDefault="002128D4" w:rsidP="002128D4">
      <w:pPr>
        <w:spacing w:after="0" w:afterAutospacing="0"/>
        <w:rPr>
          <w:color w:val="1F497D"/>
          <w:sz w:val="18"/>
          <w:szCs w:val="18"/>
        </w:rPr>
      </w:pPr>
    </w:p>
    <w:p w14:paraId="10981D54" w14:textId="77777777" w:rsidR="002128D4" w:rsidRPr="002128D4" w:rsidRDefault="002128D4" w:rsidP="002128D4">
      <w:pPr>
        <w:spacing w:after="0" w:afterAutospacing="0"/>
        <w:rPr>
          <w:szCs w:val="24"/>
        </w:rPr>
      </w:pPr>
      <w:r w:rsidRPr="002128D4">
        <w:rPr>
          <w:szCs w:val="24"/>
        </w:rPr>
        <w:fldChar w:fldCharType="begin"/>
      </w:r>
      <w:r w:rsidRPr="002128D4">
        <w:rPr>
          <w:szCs w:val="24"/>
        </w:rPr>
        <w:instrText xml:space="preserve"> MERGEFIELD  Facility_Signature </w:instrText>
      </w:r>
      <w:r w:rsidRPr="002128D4">
        <w:rPr>
          <w:szCs w:val="24"/>
        </w:rPr>
        <w:fldChar w:fldCharType="separate"/>
      </w:r>
      <w:r w:rsidRPr="002128D4">
        <w:rPr>
          <w:noProof/>
          <w:szCs w:val="24"/>
        </w:rPr>
        <w:t>«Facility_Signature»</w:t>
      </w:r>
      <w:r w:rsidRPr="002128D4">
        <w:rPr>
          <w:szCs w:val="24"/>
        </w:rPr>
        <w:fldChar w:fldCharType="end"/>
      </w:r>
    </w:p>
    <w:p w14:paraId="36A9DA1C" w14:textId="77777777" w:rsidR="002128D4" w:rsidRPr="002128D4" w:rsidRDefault="002128D4" w:rsidP="002128D4">
      <w:pPr>
        <w:spacing w:after="0" w:afterAutospacing="0"/>
      </w:pPr>
    </w:p>
    <w:p w14:paraId="2D213FA9" w14:textId="77777777" w:rsidR="002128D4" w:rsidRPr="002128D4" w:rsidRDefault="002128D4" w:rsidP="002128D4">
      <w:pPr>
        <w:spacing w:after="0" w:afterAutospacing="0"/>
      </w:pPr>
      <w:r w:rsidRPr="002128D4">
        <w:t>Submitted with the authority of the provider.</w:t>
      </w:r>
    </w:p>
    <w:p w14:paraId="6F9407EA" w14:textId="77777777" w:rsidR="002128D4" w:rsidRPr="002128D4" w:rsidRDefault="002128D4" w:rsidP="002128D4">
      <w:pPr>
        <w:spacing w:after="0" w:afterAutospacing="0"/>
        <w:rPr>
          <w:color w:val="000000"/>
        </w:rPr>
      </w:pPr>
    </w:p>
    <w:p w14:paraId="1D008DD4" w14:textId="77777777" w:rsidR="002128D4" w:rsidRPr="002128D4" w:rsidRDefault="002128D4" w:rsidP="002128D4">
      <w:pPr>
        <w:spacing w:after="0" w:afterAutospacing="0"/>
        <w:rPr>
          <w:szCs w:val="24"/>
        </w:rPr>
      </w:pPr>
      <w:r w:rsidRPr="002128D4">
        <w:rPr>
          <w:szCs w:val="24"/>
        </w:rPr>
        <w:t>Please return all correspondence to:</w:t>
      </w:r>
    </w:p>
    <w:p w14:paraId="394DAE32" w14:textId="77777777" w:rsidR="002128D4" w:rsidRPr="002128D4" w:rsidRDefault="002128D4" w:rsidP="002128D4">
      <w:pPr>
        <w:spacing w:after="0" w:afterAutospacing="0"/>
        <w:rPr>
          <w:szCs w:val="24"/>
        </w:rPr>
      </w:pPr>
    </w:p>
    <w:p w14:paraId="74208622" w14:textId="77777777" w:rsidR="002128D4" w:rsidRPr="002128D4" w:rsidRDefault="002128D4" w:rsidP="002128D4">
      <w:pPr>
        <w:spacing w:after="0" w:afterAutospacing="0"/>
        <w:rPr>
          <w:szCs w:val="24"/>
        </w:rPr>
      </w:pPr>
      <w:r w:rsidRPr="002128D4">
        <w:rPr>
          <w:szCs w:val="24"/>
        </w:rPr>
        <w:fldChar w:fldCharType="begin"/>
      </w:r>
      <w:r w:rsidRPr="002128D4">
        <w:rPr>
          <w:szCs w:val="24"/>
        </w:rPr>
        <w:instrText xml:space="preserve"> MERGEFIELD </w:instrText>
      </w:r>
      <w:r w:rsidRPr="002128D4">
        <w:rPr>
          <w:rFonts w:ascii="Calibri,Bold" w:hAnsi="Calibri,Bold" w:cs="Calibri,Bold"/>
          <w:bCs/>
          <w:sz w:val="22"/>
        </w:rPr>
        <w:instrText>Facility_Description</w:instrText>
      </w:r>
      <w:r w:rsidRPr="002128D4">
        <w:rPr>
          <w:szCs w:val="24"/>
        </w:rPr>
        <w:instrText xml:space="preserve"> </w:instrText>
      </w:r>
      <w:r w:rsidRPr="002128D4">
        <w:rPr>
          <w:szCs w:val="24"/>
        </w:rPr>
        <w:fldChar w:fldCharType="separate"/>
      </w:r>
      <w:r w:rsidRPr="002128D4">
        <w:rPr>
          <w:noProof/>
          <w:szCs w:val="24"/>
        </w:rPr>
        <w:t>«Facility_Description»</w:t>
      </w:r>
      <w:r w:rsidRPr="002128D4">
        <w:rPr>
          <w:szCs w:val="24"/>
        </w:rPr>
        <w:fldChar w:fldCharType="end"/>
      </w:r>
    </w:p>
    <w:p w14:paraId="1EC6BB9E" w14:textId="77777777" w:rsidR="002128D4" w:rsidRPr="002128D4" w:rsidRDefault="002128D4" w:rsidP="002128D4">
      <w:pPr>
        <w:spacing w:after="0" w:afterAutospacing="0"/>
        <w:rPr>
          <w:szCs w:val="24"/>
        </w:rPr>
      </w:pPr>
    </w:p>
    <w:p w14:paraId="49185A37" w14:textId="77777777" w:rsidR="002128D4" w:rsidRPr="002128D4" w:rsidRDefault="002128D4" w:rsidP="002128D4">
      <w:pPr>
        <w:spacing w:after="0" w:afterAutospacing="0"/>
        <w:rPr>
          <w:szCs w:val="24"/>
        </w:rPr>
      </w:pPr>
      <w:r w:rsidRPr="002128D4">
        <w:rPr>
          <w:szCs w:val="24"/>
        </w:rPr>
        <w:t xml:space="preserve">NPI: </w:t>
      </w:r>
      <w:r w:rsidRPr="002128D4">
        <w:rPr>
          <w:szCs w:val="24"/>
        </w:rPr>
        <w:fldChar w:fldCharType="begin"/>
      </w:r>
      <w:r w:rsidRPr="002128D4">
        <w:rPr>
          <w:szCs w:val="24"/>
        </w:rPr>
        <w:instrText xml:space="preserve"> MERGEFIELD </w:instrText>
      </w:r>
      <w:r w:rsidRPr="002128D4">
        <w:rPr>
          <w:bCs/>
          <w:szCs w:val="24"/>
          <w:lang w:bidi="en-US"/>
        </w:rPr>
        <w:instrText>Facility_NPI</w:instrText>
      </w:r>
      <w:r w:rsidRPr="002128D4">
        <w:rPr>
          <w:szCs w:val="24"/>
        </w:rPr>
        <w:instrText xml:space="preserve"> </w:instrText>
      </w:r>
      <w:r w:rsidRPr="002128D4">
        <w:rPr>
          <w:szCs w:val="24"/>
        </w:rPr>
        <w:fldChar w:fldCharType="separate"/>
      </w:r>
      <w:r w:rsidRPr="002128D4">
        <w:rPr>
          <w:noProof/>
          <w:szCs w:val="24"/>
        </w:rPr>
        <w:t>«Facility_NPI»</w:t>
      </w:r>
      <w:r w:rsidRPr="002128D4">
        <w:rPr>
          <w:szCs w:val="24"/>
        </w:rPr>
        <w:fldChar w:fldCharType="end"/>
      </w:r>
    </w:p>
    <w:p w14:paraId="4649C433" w14:textId="77777777" w:rsidR="002128D4" w:rsidRPr="002128D4" w:rsidRDefault="002128D4" w:rsidP="002128D4">
      <w:pPr>
        <w:spacing w:after="0" w:afterAutospacing="0"/>
        <w:rPr>
          <w:szCs w:val="24"/>
        </w:rPr>
      </w:pPr>
      <w:r w:rsidRPr="002128D4">
        <w:rPr>
          <w:szCs w:val="24"/>
        </w:rPr>
        <w:t xml:space="preserve">Tax ID: </w:t>
      </w:r>
      <w:r w:rsidRPr="002128D4">
        <w:rPr>
          <w:szCs w:val="24"/>
        </w:rPr>
        <w:fldChar w:fldCharType="begin"/>
      </w:r>
      <w:r w:rsidRPr="002128D4">
        <w:rPr>
          <w:szCs w:val="24"/>
        </w:rPr>
        <w:instrText xml:space="preserve"> MERGEFIELD </w:instrText>
      </w:r>
      <w:r w:rsidRPr="002128D4">
        <w:rPr>
          <w:rFonts w:cs="Calibri"/>
          <w:bCs/>
          <w:szCs w:val="24"/>
          <w:lang w:bidi="en-US"/>
        </w:rPr>
        <w:instrText>Facility_Tax_ID</w:instrText>
      </w:r>
      <w:r w:rsidRPr="002128D4">
        <w:rPr>
          <w:szCs w:val="24"/>
        </w:rPr>
        <w:instrText xml:space="preserve"> </w:instrText>
      </w:r>
      <w:r w:rsidRPr="002128D4">
        <w:rPr>
          <w:szCs w:val="24"/>
        </w:rPr>
        <w:fldChar w:fldCharType="separate"/>
      </w:r>
      <w:r w:rsidRPr="002128D4">
        <w:rPr>
          <w:noProof/>
          <w:szCs w:val="24"/>
        </w:rPr>
        <w:t>«Facility_Tax_ID»</w:t>
      </w:r>
      <w:r w:rsidRPr="002128D4">
        <w:rPr>
          <w:szCs w:val="24"/>
        </w:rPr>
        <w:fldChar w:fldCharType="end"/>
      </w:r>
    </w:p>
    <w:p w14:paraId="16F8B8AA" w14:textId="77777777" w:rsidR="002128D4" w:rsidRPr="002128D4" w:rsidRDefault="002128D4" w:rsidP="002128D4">
      <w:pPr>
        <w:spacing w:after="0" w:afterAutospacing="0"/>
        <w:rPr>
          <w:szCs w:val="24"/>
        </w:rPr>
      </w:pPr>
      <w:r w:rsidRPr="002128D4">
        <w:rPr>
          <w:szCs w:val="24"/>
        </w:rPr>
        <w:t xml:space="preserve">PTAN: </w:t>
      </w:r>
      <w:r w:rsidRPr="002128D4">
        <w:rPr>
          <w:szCs w:val="24"/>
        </w:rPr>
        <w:fldChar w:fldCharType="begin"/>
      </w:r>
      <w:r w:rsidRPr="002128D4">
        <w:rPr>
          <w:szCs w:val="24"/>
        </w:rPr>
        <w:instrText xml:space="preserve"> MERGEFIELD  PTAN </w:instrText>
      </w:r>
      <w:r w:rsidRPr="002128D4">
        <w:rPr>
          <w:szCs w:val="24"/>
        </w:rPr>
        <w:fldChar w:fldCharType="separate"/>
      </w:r>
      <w:r w:rsidRPr="002128D4">
        <w:rPr>
          <w:noProof/>
          <w:szCs w:val="24"/>
        </w:rPr>
        <w:t>«PTAN»</w:t>
      </w:r>
      <w:r w:rsidRPr="002128D4">
        <w:rPr>
          <w:szCs w:val="24"/>
        </w:rPr>
        <w:fldChar w:fldCharType="end"/>
      </w:r>
    </w:p>
    <w:p w14:paraId="5ED106F5" w14:textId="77777777" w:rsidR="002128D4" w:rsidRPr="002128D4" w:rsidRDefault="002128D4" w:rsidP="002128D4">
      <w:pPr>
        <w:spacing w:after="0" w:afterAutospacing="0"/>
        <w:rPr>
          <w:szCs w:val="24"/>
        </w:rPr>
      </w:pPr>
      <w:r w:rsidRPr="002128D4">
        <w:rPr>
          <w:szCs w:val="24"/>
        </w:rPr>
        <w:fldChar w:fldCharType="begin"/>
      </w:r>
      <w:r w:rsidRPr="002128D4">
        <w:rPr>
          <w:szCs w:val="24"/>
        </w:rPr>
        <w:instrText xml:space="preserve"> MERGEFIELD TableEnd:PATIENTINFO </w:instrText>
      </w:r>
      <w:r w:rsidRPr="002128D4">
        <w:rPr>
          <w:szCs w:val="24"/>
        </w:rPr>
        <w:fldChar w:fldCharType="separate"/>
      </w:r>
      <w:r w:rsidRPr="002128D4">
        <w:rPr>
          <w:noProof/>
          <w:szCs w:val="24"/>
        </w:rPr>
        <w:t>«TableEnd:PATIENTINFO»</w:t>
      </w:r>
      <w:r w:rsidRPr="002128D4">
        <w:rPr>
          <w:szCs w:val="24"/>
        </w:rPr>
        <w:fldChar w:fldCharType="end"/>
      </w:r>
    </w:p>
    <w:p w14:paraId="6A093C08" w14:textId="428C0A1C" w:rsidR="00F111C6" w:rsidRPr="00C81AC7" w:rsidRDefault="00F111C6" w:rsidP="002128D4">
      <w:pPr>
        <w:pStyle w:val="NoSpacing"/>
        <w:rPr>
          <w:szCs w:val="24"/>
        </w:rPr>
      </w:pPr>
    </w:p>
    <w:sectPr w:rsidR="00F111C6" w:rsidRPr="00C81AC7" w:rsidSect="00F374AC">
      <w:footerReference w:type="default" r:id="rId9"/>
      <w:footerReference w:type="first" r:id="rId10"/>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80DBF" w14:textId="77777777" w:rsidR="0021506B" w:rsidRDefault="0021506B" w:rsidP="00A66584">
      <w:r>
        <w:separator/>
      </w:r>
    </w:p>
  </w:endnote>
  <w:endnote w:type="continuationSeparator" w:id="0">
    <w:p w14:paraId="58B1D832" w14:textId="77777777" w:rsidR="0021506B" w:rsidRDefault="0021506B"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429B" w14:textId="77777777" w:rsidR="00D87A2A" w:rsidRPr="00D87A2A" w:rsidRDefault="003B232C">
    <w:pPr>
      <w:pStyle w:val="Footer"/>
      <w:jc w:val="right"/>
      <w:rPr>
        <w:rFonts w:ascii="Times New Roman" w:hAnsi="Times New Roman"/>
        <w:sz w:val="24"/>
        <w:szCs w:val="24"/>
      </w:rPr>
    </w:pPr>
    <w:r w:rsidRPr="00D87A2A">
      <w:rPr>
        <w:rFonts w:ascii="Times New Roman" w:hAnsi="Times New Roman"/>
        <w:sz w:val="24"/>
        <w:szCs w:val="24"/>
      </w:rPr>
      <w:fldChar w:fldCharType="begin"/>
    </w:r>
    <w:r w:rsidR="00D87A2A" w:rsidRPr="00D87A2A">
      <w:rPr>
        <w:rFonts w:ascii="Times New Roman" w:hAnsi="Times New Roman"/>
        <w:sz w:val="24"/>
        <w:szCs w:val="24"/>
      </w:rPr>
      <w:instrText xml:space="preserve"> PAGE   \* MERGEFORMAT </w:instrText>
    </w:r>
    <w:r w:rsidRPr="00D87A2A">
      <w:rPr>
        <w:rFonts w:ascii="Times New Roman" w:hAnsi="Times New Roman"/>
        <w:sz w:val="24"/>
        <w:szCs w:val="24"/>
      </w:rPr>
      <w:fldChar w:fldCharType="separate"/>
    </w:r>
    <w:r w:rsidR="00044766">
      <w:rPr>
        <w:rFonts w:ascii="Times New Roman" w:hAnsi="Times New Roman"/>
        <w:noProof/>
        <w:sz w:val="24"/>
        <w:szCs w:val="24"/>
      </w:rPr>
      <w:t>8</w:t>
    </w:r>
    <w:r w:rsidRPr="00D87A2A">
      <w:rPr>
        <w:rFonts w:ascii="Times New Roman" w:hAnsi="Times New Roman"/>
        <w:noProof/>
        <w:sz w:val="24"/>
        <w:szCs w:val="24"/>
      </w:rPr>
      <w:fldChar w:fldCharType="end"/>
    </w:r>
  </w:p>
  <w:p w14:paraId="58C53C22" w14:textId="1608E8D5" w:rsidR="00D87A2A" w:rsidRPr="0058543B" w:rsidRDefault="0058543B" w:rsidP="0058543B">
    <w:pPr>
      <w:pStyle w:val="Header"/>
    </w:pPr>
    <w:r>
      <w:rPr>
        <w:rFonts w:ascii="Times New Roman" w:hAnsi="Times New Roman"/>
        <w:sz w:val="24"/>
        <w:szCs w:val="24"/>
      </w:rPr>
      <w:fldChar w:fldCharType="begin"/>
    </w:r>
    <w:r>
      <w:rPr>
        <w:rFonts w:ascii="Times New Roman" w:hAnsi="Times New Roman"/>
        <w:sz w:val="24"/>
        <w:szCs w:val="24"/>
      </w:rPr>
      <w:instrText xml:space="preserve"> MERGEFIELD TableStart:PATIENTINFO </w:instrText>
    </w:r>
    <w:r>
      <w:rPr>
        <w:rFonts w:ascii="Times New Roman" w:hAnsi="Times New Roman"/>
        <w:sz w:val="24"/>
        <w:szCs w:val="24"/>
      </w:rPr>
      <w:fldChar w:fldCharType="separate"/>
    </w:r>
    <w:r>
      <w:rPr>
        <w:rFonts w:ascii="Times New Roman" w:hAnsi="Times New Roman"/>
        <w:noProof/>
        <w:sz w:val="24"/>
        <w:szCs w:val="24"/>
      </w:rPr>
      <w:t>«TableStart:PATIENTINFO»</w:t>
    </w:r>
    <w:r>
      <w:rPr>
        <w:rFonts w:ascii="Times New Roman" w:hAnsi="Times New Roman"/>
        <w:sz w:val="24"/>
        <w:szCs w:val="24"/>
      </w:rPr>
      <w:fldChar w:fldCharType="end"/>
    </w:r>
    <w:r>
      <w:rPr>
        <w:rFonts w:ascii="Times New Roman" w:hAnsi="Times New Roman"/>
        <w:sz w:val="24"/>
        <w:szCs w:val="24"/>
      </w:rPr>
      <w:fldChar w:fldCharType="begin"/>
    </w:r>
    <w:r>
      <w:rPr>
        <w:rFonts w:ascii="Times New Roman" w:hAnsi="Times New Roman"/>
        <w:sz w:val="24"/>
        <w:szCs w:val="24"/>
      </w:rPr>
      <w:instrText xml:space="preserve"> MERGEFIELD </w:instrText>
    </w:r>
    <w:r>
      <w:rPr>
        <w:rFonts w:ascii="Times New Roman" w:hAnsi="Times New Roman"/>
        <w:b/>
        <w:bCs/>
        <w:sz w:val="24"/>
        <w:szCs w:val="24"/>
      </w:rPr>
      <w:instrText>Current_Level</w:instrText>
    </w:r>
    <w:r>
      <w:rPr>
        <w:rFonts w:ascii="Times New Roman" w:hAnsi="Times New Roman"/>
        <w:sz w:val="24"/>
        <w:szCs w:val="24"/>
      </w:rPr>
      <w:instrText xml:space="preserve"> </w:instrText>
    </w:r>
    <w:r>
      <w:rPr>
        <w:rFonts w:ascii="Times New Roman" w:hAnsi="Times New Roman"/>
        <w:sz w:val="24"/>
        <w:szCs w:val="24"/>
      </w:rPr>
      <w:fldChar w:fldCharType="separate"/>
    </w:r>
    <w:r>
      <w:rPr>
        <w:rFonts w:ascii="Times New Roman" w:hAnsi="Times New Roman"/>
        <w:noProof/>
        <w:sz w:val="24"/>
        <w:szCs w:val="24"/>
      </w:rPr>
      <w:t>«Current_Level»</w:t>
    </w:r>
    <w:r>
      <w:rPr>
        <w:rFonts w:ascii="Times New Roman" w:hAnsi="Times New Roman"/>
        <w:sz w:val="24"/>
        <w:szCs w:val="24"/>
      </w:rPr>
      <w:fldChar w:fldCharType="end"/>
    </w:r>
    <w:r>
      <w:rPr>
        <w:rFonts w:ascii="Times New Roman" w:hAnsi="Times New Roman"/>
        <w:sz w:val="24"/>
        <w:szCs w:val="24"/>
      </w:rPr>
      <w:t>-</w:t>
    </w:r>
    <w:r>
      <w:rPr>
        <w:rFonts w:ascii="Times New Roman" w:hAnsi="Times New Roman"/>
        <w:sz w:val="24"/>
        <w:szCs w:val="24"/>
      </w:rPr>
      <w:fldChar w:fldCharType="begin"/>
    </w:r>
    <w:r>
      <w:rPr>
        <w:rFonts w:ascii="Times New Roman" w:hAnsi="Times New Roman"/>
        <w:sz w:val="24"/>
        <w:szCs w:val="24"/>
      </w:rPr>
      <w:instrText xml:space="preserve"> MERGEFIELD PCN </w:instrText>
    </w:r>
    <w:r>
      <w:rPr>
        <w:rFonts w:ascii="Times New Roman" w:hAnsi="Times New Roman"/>
        <w:sz w:val="24"/>
        <w:szCs w:val="24"/>
      </w:rPr>
      <w:fldChar w:fldCharType="separate"/>
    </w:r>
    <w:r>
      <w:rPr>
        <w:rFonts w:ascii="Times New Roman" w:hAnsi="Times New Roman"/>
        <w:noProof/>
        <w:sz w:val="24"/>
        <w:szCs w:val="24"/>
      </w:rPr>
      <w:t>«PCN»</w:t>
    </w:r>
    <w:r>
      <w:rPr>
        <w:rFonts w:ascii="Times New Roman" w:hAnsi="Times New Roman"/>
        <w:sz w:val="24"/>
        <w:szCs w:val="24"/>
      </w:rPr>
      <w:fldChar w:fldCharType="end"/>
    </w:r>
    <w:r>
      <w:rPr>
        <w:rFonts w:ascii="Times New Roman" w:hAnsi="Times New Roman"/>
        <w:sz w:val="24"/>
        <w:szCs w:val="24"/>
      </w:rPr>
      <w:fldChar w:fldCharType="begin"/>
    </w:r>
    <w:r>
      <w:rPr>
        <w:rFonts w:ascii="Times New Roman" w:hAnsi="Times New Roman"/>
        <w:sz w:val="24"/>
        <w:szCs w:val="24"/>
      </w:rPr>
      <w:instrText xml:space="preserve"> MERGEFIELD TableEnd:PATIENTINFO </w:instrText>
    </w:r>
    <w:r>
      <w:rPr>
        <w:rFonts w:ascii="Times New Roman" w:hAnsi="Times New Roman"/>
        <w:sz w:val="24"/>
        <w:szCs w:val="24"/>
      </w:rPr>
      <w:fldChar w:fldCharType="separate"/>
    </w:r>
    <w:r>
      <w:rPr>
        <w:rFonts w:ascii="Times New Roman" w:hAnsi="Times New Roman"/>
        <w:noProof/>
        <w:sz w:val="24"/>
        <w:szCs w:val="24"/>
      </w:rPr>
      <w:t>«TableEnd:PATIENTINFO»</w:t>
    </w:r>
    <w:r>
      <w:rPr>
        <w:rFonts w:ascii="Times New Roman" w:hAnsi="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EEB42" w14:textId="77777777" w:rsidR="00D87A2A" w:rsidRPr="00D87A2A" w:rsidRDefault="003B232C">
    <w:pPr>
      <w:pStyle w:val="Footer"/>
      <w:jc w:val="right"/>
      <w:rPr>
        <w:rFonts w:ascii="Times New Roman" w:hAnsi="Times New Roman"/>
        <w:sz w:val="24"/>
        <w:szCs w:val="24"/>
      </w:rPr>
    </w:pPr>
    <w:r w:rsidRPr="00D87A2A">
      <w:rPr>
        <w:rFonts w:ascii="Times New Roman" w:hAnsi="Times New Roman"/>
        <w:sz w:val="24"/>
        <w:szCs w:val="24"/>
      </w:rPr>
      <w:fldChar w:fldCharType="begin"/>
    </w:r>
    <w:r w:rsidR="00D87A2A" w:rsidRPr="00D87A2A">
      <w:rPr>
        <w:rFonts w:ascii="Times New Roman" w:hAnsi="Times New Roman"/>
        <w:sz w:val="24"/>
        <w:szCs w:val="24"/>
      </w:rPr>
      <w:instrText xml:space="preserve"> PAGE   \* MERGEFORMAT </w:instrText>
    </w:r>
    <w:r w:rsidRPr="00D87A2A">
      <w:rPr>
        <w:rFonts w:ascii="Times New Roman" w:hAnsi="Times New Roman"/>
        <w:sz w:val="24"/>
        <w:szCs w:val="24"/>
      </w:rPr>
      <w:fldChar w:fldCharType="separate"/>
    </w:r>
    <w:r w:rsidR="00044766">
      <w:rPr>
        <w:rFonts w:ascii="Times New Roman" w:hAnsi="Times New Roman"/>
        <w:noProof/>
        <w:sz w:val="24"/>
        <w:szCs w:val="24"/>
      </w:rPr>
      <w:t>1</w:t>
    </w:r>
    <w:r w:rsidRPr="00D87A2A">
      <w:rPr>
        <w:rFonts w:ascii="Times New Roman" w:hAnsi="Times New Roman"/>
        <w:noProof/>
        <w:sz w:val="24"/>
        <w:szCs w:val="24"/>
      </w:rPr>
      <w:fldChar w:fldCharType="end"/>
    </w:r>
  </w:p>
  <w:p w14:paraId="50220921" w14:textId="5420BBCF" w:rsidR="00D87A2A" w:rsidRDefault="009E7274" w:rsidP="00E308C6">
    <w:pPr>
      <w:pStyle w:val="Header"/>
    </w:pPr>
    <w:r w:rsidRPr="002B27F3">
      <w:rPr>
        <w:rFonts w:ascii="Times New Roman" w:hAnsi="Times New Roman"/>
        <w:sz w:val="24"/>
        <w:szCs w:val="24"/>
      </w:rPr>
      <w:fldChar w:fldCharType="begin"/>
    </w:r>
    <w:r w:rsidRPr="002B27F3">
      <w:rPr>
        <w:rFonts w:ascii="Times New Roman" w:hAnsi="Times New Roman"/>
        <w:sz w:val="24"/>
        <w:szCs w:val="24"/>
      </w:rPr>
      <w:instrText xml:space="preserve"> MERGEFIELD TableStart:PATIENTINFO </w:instrText>
    </w:r>
    <w:r w:rsidRPr="002B27F3">
      <w:rPr>
        <w:rFonts w:ascii="Times New Roman" w:hAnsi="Times New Roman"/>
        <w:sz w:val="24"/>
        <w:szCs w:val="24"/>
      </w:rPr>
      <w:fldChar w:fldCharType="separate"/>
    </w:r>
    <w:r w:rsidR="00121A74">
      <w:rPr>
        <w:rFonts w:ascii="Times New Roman" w:hAnsi="Times New Roman"/>
        <w:noProof/>
        <w:sz w:val="24"/>
        <w:szCs w:val="24"/>
      </w:rPr>
      <w:t>«TableStart:PATIENTINFO»</w:t>
    </w:r>
    <w:r w:rsidRPr="002B27F3">
      <w:rPr>
        <w:rFonts w:ascii="Times New Roman" w:hAnsi="Times New Roman"/>
        <w:sz w:val="24"/>
        <w:szCs w:val="24"/>
      </w:rPr>
      <w:fldChar w:fldCharType="end"/>
    </w:r>
    <w:r w:rsidRPr="002B27F3">
      <w:rPr>
        <w:rFonts w:ascii="Times New Roman" w:hAnsi="Times New Roman"/>
        <w:sz w:val="24"/>
        <w:szCs w:val="24"/>
      </w:rPr>
      <w:fldChar w:fldCharType="begin"/>
    </w:r>
    <w:r w:rsidRPr="002B27F3">
      <w:rPr>
        <w:rFonts w:ascii="Times New Roman" w:hAnsi="Times New Roman"/>
        <w:sz w:val="24"/>
        <w:szCs w:val="24"/>
      </w:rPr>
      <w:instrText xml:space="preserve"> MERGEFIELD PCN </w:instrText>
    </w:r>
    <w:r w:rsidRPr="002B27F3">
      <w:rPr>
        <w:rFonts w:ascii="Times New Roman" w:hAnsi="Times New Roman"/>
        <w:sz w:val="24"/>
        <w:szCs w:val="24"/>
      </w:rPr>
      <w:fldChar w:fldCharType="separate"/>
    </w:r>
    <w:r w:rsidR="00121A74">
      <w:rPr>
        <w:rFonts w:ascii="Times New Roman" w:hAnsi="Times New Roman"/>
        <w:noProof/>
        <w:sz w:val="24"/>
        <w:szCs w:val="24"/>
      </w:rPr>
      <w:t>«PCN»</w:t>
    </w:r>
    <w:r w:rsidRPr="002B27F3">
      <w:rPr>
        <w:rFonts w:ascii="Times New Roman" w:hAnsi="Times New Roman"/>
        <w:sz w:val="24"/>
        <w:szCs w:val="24"/>
      </w:rPr>
      <w:fldChar w:fldCharType="end"/>
    </w:r>
    <w:r w:rsidRPr="002B27F3">
      <w:rPr>
        <w:rFonts w:ascii="Times New Roman" w:hAnsi="Times New Roman"/>
        <w:sz w:val="24"/>
        <w:szCs w:val="24"/>
      </w:rPr>
      <w:fldChar w:fldCharType="begin"/>
    </w:r>
    <w:r w:rsidRPr="002B27F3">
      <w:rPr>
        <w:rFonts w:ascii="Times New Roman" w:hAnsi="Times New Roman"/>
        <w:sz w:val="24"/>
        <w:szCs w:val="24"/>
      </w:rPr>
      <w:instrText xml:space="preserve"> MERGEFIELD TableEnd:PATIENTINFO </w:instrText>
    </w:r>
    <w:r w:rsidRPr="002B27F3">
      <w:rPr>
        <w:rFonts w:ascii="Times New Roman" w:hAnsi="Times New Roman"/>
        <w:sz w:val="24"/>
        <w:szCs w:val="24"/>
      </w:rPr>
      <w:fldChar w:fldCharType="separate"/>
    </w:r>
    <w:r w:rsidR="00121A74">
      <w:rPr>
        <w:rFonts w:ascii="Times New Roman" w:hAnsi="Times New Roman"/>
        <w:noProof/>
        <w:sz w:val="24"/>
        <w:szCs w:val="24"/>
      </w:rPr>
      <w:t>«TableEnd:PATIENTINFO»</w:t>
    </w:r>
    <w:r w:rsidRPr="002B27F3">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1E2D9" w14:textId="77777777" w:rsidR="0021506B" w:rsidRDefault="0021506B" w:rsidP="00A66584">
      <w:r>
        <w:separator/>
      </w:r>
    </w:p>
  </w:footnote>
  <w:footnote w:type="continuationSeparator" w:id="0">
    <w:p w14:paraId="33D878CE" w14:textId="77777777" w:rsidR="0021506B" w:rsidRDefault="0021506B" w:rsidP="00A66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5C16"/>
    <w:multiLevelType w:val="hybridMultilevel"/>
    <w:tmpl w:val="0F34AE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5000CFB"/>
    <w:multiLevelType w:val="hybridMultilevel"/>
    <w:tmpl w:val="390E2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7B0FB1"/>
    <w:multiLevelType w:val="hybridMultilevel"/>
    <w:tmpl w:val="350ED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534689"/>
    <w:multiLevelType w:val="hybridMultilevel"/>
    <w:tmpl w:val="5CA4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23B7B"/>
    <w:multiLevelType w:val="hybridMultilevel"/>
    <w:tmpl w:val="E36435A0"/>
    <w:lvl w:ilvl="0" w:tplc="465E1B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F4F15"/>
    <w:multiLevelType w:val="hybridMultilevel"/>
    <w:tmpl w:val="50EA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F1023"/>
    <w:multiLevelType w:val="hybridMultilevel"/>
    <w:tmpl w:val="6646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9B3575"/>
    <w:multiLevelType w:val="hybridMultilevel"/>
    <w:tmpl w:val="050AAE5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F86626"/>
    <w:multiLevelType w:val="hybridMultilevel"/>
    <w:tmpl w:val="2B5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52B82"/>
    <w:multiLevelType w:val="hybridMultilevel"/>
    <w:tmpl w:val="942E14C2"/>
    <w:lvl w:ilvl="0" w:tplc="C95452F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E0863"/>
    <w:multiLevelType w:val="hybridMultilevel"/>
    <w:tmpl w:val="CF323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4960A1"/>
    <w:multiLevelType w:val="hybridMultilevel"/>
    <w:tmpl w:val="B10827E2"/>
    <w:lvl w:ilvl="0" w:tplc="62F27026">
      <w:start w:val="1"/>
      <w:numFmt w:val="decimal"/>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8607F6"/>
    <w:multiLevelType w:val="hybridMultilevel"/>
    <w:tmpl w:val="218C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0401E"/>
    <w:multiLevelType w:val="hybridMultilevel"/>
    <w:tmpl w:val="20327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9627CC"/>
    <w:multiLevelType w:val="hybridMultilevel"/>
    <w:tmpl w:val="F43A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14115C"/>
    <w:multiLevelType w:val="hybridMultilevel"/>
    <w:tmpl w:val="2DE0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845A9"/>
    <w:multiLevelType w:val="hybridMultilevel"/>
    <w:tmpl w:val="493C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BE54D8"/>
    <w:multiLevelType w:val="hybridMultilevel"/>
    <w:tmpl w:val="50ECF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F6C62"/>
    <w:multiLevelType w:val="hybridMultilevel"/>
    <w:tmpl w:val="81E0F9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2B3BF7"/>
    <w:multiLevelType w:val="hybridMultilevel"/>
    <w:tmpl w:val="5D24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22AFD"/>
    <w:multiLevelType w:val="hybridMultilevel"/>
    <w:tmpl w:val="4858D7D4"/>
    <w:lvl w:ilvl="0" w:tplc="04090015">
      <w:start w:val="1"/>
      <w:numFmt w:val="upperLetter"/>
      <w:lvlText w:val="%1."/>
      <w:lvlJc w:val="left"/>
      <w:pPr>
        <w:ind w:left="360" w:hanging="360"/>
      </w:pPr>
      <w:rPr>
        <w:rFonts w:cs="Times New Roman"/>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ind w:left="2520" w:hanging="360"/>
      </w:pPr>
      <w:rPr>
        <w:rFonts w:cs="Times New Roman"/>
      </w:r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1" w15:restartNumberingAfterBreak="0">
    <w:nsid w:val="53EE12CB"/>
    <w:multiLevelType w:val="hybridMultilevel"/>
    <w:tmpl w:val="EBE20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B1F82"/>
    <w:multiLevelType w:val="hybridMultilevel"/>
    <w:tmpl w:val="C6EC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9F5551"/>
    <w:multiLevelType w:val="hybridMultilevel"/>
    <w:tmpl w:val="7762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F36EFC"/>
    <w:multiLevelType w:val="hybridMultilevel"/>
    <w:tmpl w:val="14928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CF427A"/>
    <w:multiLevelType w:val="hybridMultilevel"/>
    <w:tmpl w:val="5678A294"/>
    <w:lvl w:ilvl="0" w:tplc="91FE6B44">
      <w:start w:val="1"/>
      <w:numFmt w:val="decimal"/>
      <w:lvlText w:val="%1."/>
      <w:lvlJc w:val="left"/>
      <w:pPr>
        <w:ind w:left="1080" w:hanging="360"/>
      </w:pPr>
      <w:rPr>
        <w:rFonts w:cs="Times New Roman"/>
        <w:b w:val="0"/>
        <w:i/>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lowerRoman"/>
      <w:lvlText w:val="%9."/>
      <w:lvlJc w:val="right"/>
      <w:pPr>
        <w:ind w:left="6840" w:hanging="180"/>
      </w:pPr>
      <w:rPr>
        <w:rFonts w:cs="Times New Roman"/>
      </w:rPr>
    </w:lvl>
  </w:abstractNum>
  <w:abstractNum w:abstractNumId="26" w15:restartNumberingAfterBreak="0">
    <w:nsid w:val="6C55483D"/>
    <w:multiLevelType w:val="hybridMultilevel"/>
    <w:tmpl w:val="1FA8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A5FAD"/>
    <w:multiLevelType w:val="hybridMultilevel"/>
    <w:tmpl w:val="B4080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B77534"/>
    <w:multiLevelType w:val="hybridMultilevel"/>
    <w:tmpl w:val="388E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765C8F"/>
    <w:multiLevelType w:val="hybridMultilevel"/>
    <w:tmpl w:val="559E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852A39"/>
    <w:multiLevelType w:val="hybridMultilevel"/>
    <w:tmpl w:val="EC28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8D5A80"/>
    <w:multiLevelType w:val="hybridMultilevel"/>
    <w:tmpl w:val="1264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93116D"/>
    <w:multiLevelType w:val="hybridMultilevel"/>
    <w:tmpl w:val="4FE0A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FD5145"/>
    <w:multiLevelType w:val="hybridMultilevel"/>
    <w:tmpl w:val="05FCE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BA5632"/>
    <w:multiLevelType w:val="hybridMultilevel"/>
    <w:tmpl w:val="40A6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6259442">
    <w:abstractNumId w:val="18"/>
  </w:num>
  <w:num w:numId="2" w16cid:durableId="598365855">
    <w:abstractNumId w:val="33"/>
  </w:num>
  <w:num w:numId="3" w16cid:durableId="1528254519">
    <w:abstractNumId w:val="4"/>
  </w:num>
  <w:num w:numId="4" w16cid:durableId="203754833">
    <w:abstractNumId w:val="13"/>
  </w:num>
  <w:num w:numId="5" w16cid:durableId="116988856">
    <w:abstractNumId w:val="2"/>
  </w:num>
  <w:num w:numId="6" w16cid:durableId="2631926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5449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9138070">
    <w:abstractNumId w:val="7"/>
  </w:num>
  <w:num w:numId="9" w16cid:durableId="1802262817">
    <w:abstractNumId w:val="11"/>
  </w:num>
  <w:num w:numId="10" w16cid:durableId="462312581">
    <w:abstractNumId w:val="22"/>
  </w:num>
  <w:num w:numId="11" w16cid:durableId="1182017005">
    <w:abstractNumId w:val="34"/>
  </w:num>
  <w:num w:numId="12" w16cid:durableId="930358387">
    <w:abstractNumId w:val="5"/>
  </w:num>
  <w:num w:numId="13" w16cid:durableId="389227215">
    <w:abstractNumId w:val="21"/>
  </w:num>
  <w:num w:numId="14" w16cid:durableId="490289164">
    <w:abstractNumId w:val="16"/>
  </w:num>
  <w:num w:numId="15" w16cid:durableId="1938249142">
    <w:abstractNumId w:val="15"/>
  </w:num>
  <w:num w:numId="16" w16cid:durableId="2130738762">
    <w:abstractNumId w:val="3"/>
  </w:num>
  <w:num w:numId="17" w16cid:durableId="699740983">
    <w:abstractNumId w:val="12"/>
  </w:num>
  <w:num w:numId="18" w16cid:durableId="176388780">
    <w:abstractNumId w:val="27"/>
  </w:num>
  <w:num w:numId="19" w16cid:durableId="16867820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5327383">
    <w:abstractNumId w:val="8"/>
  </w:num>
  <w:num w:numId="21" w16cid:durableId="1145927326">
    <w:abstractNumId w:val="30"/>
  </w:num>
  <w:num w:numId="22" w16cid:durableId="1310091942">
    <w:abstractNumId w:val="31"/>
  </w:num>
  <w:num w:numId="23" w16cid:durableId="606932686">
    <w:abstractNumId w:val="9"/>
  </w:num>
  <w:num w:numId="24" w16cid:durableId="777069988">
    <w:abstractNumId w:val="17"/>
  </w:num>
  <w:num w:numId="25" w16cid:durableId="1349411350">
    <w:abstractNumId w:val="0"/>
  </w:num>
  <w:num w:numId="26" w16cid:durableId="802961991">
    <w:abstractNumId w:val="20"/>
  </w:num>
  <w:num w:numId="27" w16cid:durableId="1691251686">
    <w:abstractNumId w:val="26"/>
  </w:num>
  <w:num w:numId="28" w16cid:durableId="444425857">
    <w:abstractNumId w:val="23"/>
  </w:num>
  <w:num w:numId="29" w16cid:durableId="514541537">
    <w:abstractNumId w:val="19"/>
  </w:num>
  <w:num w:numId="30" w16cid:durableId="1481537249">
    <w:abstractNumId w:val="28"/>
  </w:num>
  <w:num w:numId="31" w16cid:durableId="1951934637">
    <w:abstractNumId w:val="6"/>
  </w:num>
  <w:num w:numId="32" w16cid:durableId="1091318492">
    <w:abstractNumId w:val="32"/>
  </w:num>
  <w:num w:numId="33" w16cid:durableId="1698583692">
    <w:abstractNumId w:val="24"/>
  </w:num>
  <w:num w:numId="34" w16cid:durableId="1264144615">
    <w:abstractNumId w:val="29"/>
  </w:num>
  <w:num w:numId="35" w16cid:durableId="11804848">
    <w:abstractNumId w:val="14"/>
  </w:num>
  <w:num w:numId="36" w16cid:durableId="974486687">
    <w:abstractNumId w:val="10"/>
  </w:num>
  <w:num w:numId="37" w16cid:durableId="82505317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A3"/>
    <w:rsid w:val="00000A56"/>
    <w:rsid w:val="00004EE7"/>
    <w:rsid w:val="00005DF5"/>
    <w:rsid w:val="000173FE"/>
    <w:rsid w:val="00017B92"/>
    <w:rsid w:val="00021E6E"/>
    <w:rsid w:val="000260E0"/>
    <w:rsid w:val="00031122"/>
    <w:rsid w:val="00034283"/>
    <w:rsid w:val="0003448B"/>
    <w:rsid w:val="00035CF3"/>
    <w:rsid w:val="00037F6C"/>
    <w:rsid w:val="000412D6"/>
    <w:rsid w:val="00044766"/>
    <w:rsid w:val="00044777"/>
    <w:rsid w:val="00046A51"/>
    <w:rsid w:val="00046DAD"/>
    <w:rsid w:val="000473B3"/>
    <w:rsid w:val="00047F1F"/>
    <w:rsid w:val="000508DF"/>
    <w:rsid w:val="00050D77"/>
    <w:rsid w:val="00052577"/>
    <w:rsid w:val="00056854"/>
    <w:rsid w:val="00067064"/>
    <w:rsid w:val="00067875"/>
    <w:rsid w:val="000700F2"/>
    <w:rsid w:val="00070430"/>
    <w:rsid w:val="00072DE0"/>
    <w:rsid w:val="00076EFD"/>
    <w:rsid w:val="00077335"/>
    <w:rsid w:val="00080869"/>
    <w:rsid w:val="00080F3C"/>
    <w:rsid w:val="000810EF"/>
    <w:rsid w:val="00085F99"/>
    <w:rsid w:val="00091C0D"/>
    <w:rsid w:val="000A0FD8"/>
    <w:rsid w:val="000A65B1"/>
    <w:rsid w:val="000A66D9"/>
    <w:rsid w:val="000B0615"/>
    <w:rsid w:val="000B0B3E"/>
    <w:rsid w:val="000B1039"/>
    <w:rsid w:val="000C0103"/>
    <w:rsid w:val="000C3B80"/>
    <w:rsid w:val="000C5632"/>
    <w:rsid w:val="000D5E0A"/>
    <w:rsid w:val="000D633C"/>
    <w:rsid w:val="000E412B"/>
    <w:rsid w:val="000F286C"/>
    <w:rsid w:val="000F2A86"/>
    <w:rsid w:val="000F37F0"/>
    <w:rsid w:val="001009AD"/>
    <w:rsid w:val="00101F6E"/>
    <w:rsid w:val="001118DA"/>
    <w:rsid w:val="00111C46"/>
    <w:rsid w:val="001202B3"/>
    <w:rsid w:val="001211C0"/>
    <w:rsid w:val="00121A74"/>
    <w:rsid w:val="00127814"/>
    <w:rsid w:val="001374CC"/>
    <w:rsid w:val="001516EA"/>
    <w:rsid w:val="001554FD"/>
    <w:rsid w:val="001601A0"/>
    <w:rsid w:val="00161540"/>
    <w:rsid w:val="00162B1F"/>
    <w:rsid w:val="00164CD9"/>
    <w:rsid w:val="001661DE"/>
    <w:rsid w:val="001678A7"/>
    <w:rsid w:val="00172B28"/>
    <w:rsid w:val="00172C05"/>
    <w:rsid w:val="00181907"/>
    <w:rsid w:val="00185649"/>
    <w:rsid w:val="00190EB6"/>
    <w:rsid w:val="001939B7"/>
    <w:rsid w:val="00194EDF"/>
    <w:rsid w:val="00197A73"/>
    <w:rsid w:val="001A3F9A"/>
    <w:rsid w:val="001A5CE6"/>
    <w:rsid w:val="001A6472"/>
    <w:rsid w:val="001A6485"/>
    <w:rsid w:val="001A7DE4"/>
    <w:rsid w:val="001B26C3"/>
    <w:rsid w:val="001C67C0"/>
    <w:rsid w:val="001C7BE5"/>
    <w:rsid w:val="001D0713"/>
    <w:rsid w:val="001D33F3"/>
    <w:rsid w:val="001D5BD3"/>
    <w:rsid w:val="001D64DC"/>
    <w:rsid w:val="001E03AD"/>
    <w:rsid w:val="001E156E"/>
    <w:rsid w:val="001E3260"/>
    <w:rsid w:val="001F682B"/>
    <w:rsid w:val="002009B7"/>
    <w:rsid w:val="0020260D"/>
    <w:rsid w:val="002058EC"/>
    <w:rsid w:val="0020695F"/>
    <w:rsid w:val="002128D4"/>
    <w:rsid w:val="00212A44"/>
    <w:rsid w:val="0021506B"/>
    <w:rsid w:val="002153F6"/>
    <w:rsid w:val="002241ED"/>
    <w:rsid w:val="002303D4"/>
    <w:rsid w:val="00231378"/>
    <w:rsid w:val="0023471F"/>
    <w:rsid w:val="0023587E"/>
    <w:rsid w:val="00241580"/>
    <w:rsid w:val="00244AA7"/>
    <w:rsid w:val="00245CC4"/>
    <w:rsid w:val="002514D8"/>
    <w:rsid w:val="00251E0C"/>
    <w:rsid w:val="002613A2"/>
    <w:rsid w:val="00261DD8"/>
    <w:rsid w:val="002709BF"/>
    <w:rsid w:val="00272F09"/>
    <w:rsid w:val="00282889"/>
    <w:rsid w:val="0028433A"/>
    <w:rsid w:val="00287CF5"/>
    <w:rsid w:val="00292355"/>
    <w:rsid w:val="00293174"/>
    <w:rsid w:val="002932B5"/>
    <w:rsid w:val="0029550F"/>
    <w:rsid w:val="002A2ED4"/>
    <w:rsid w:val="002A2F1C"/>
    <w:rsid w:val="002B27F3"/>
    <w:rsid w:val="002B316F"/>
    <w:rsid w:val="002B5A91"/>
    <w:rsid w:val="002C094F"/>
    <w:rsid w:val="002C20DB"/>
    <w:rsid w:val="002C29CD"/>
    <w:rsid w:val="002C2CBB"/>
    <w:rsid w:val="002C31C0"/>
    <w:rsid w:val="002C466F"/>
    <w:rsid w:val="002C61DC"/>
    <w:rsid w:val="002D0CD1"/>
    <w:rsid w:val="002D2949"/>
    <w:rsid w:val="002E5043"/>
    <w:rsid w:val="002E5FE1"/>
    <w:rsid w:val="002F4302"/>
    <w:rsid w:val="002F6F12"/>
    <w:rsid w:val="002F79D9"/>
    <w:rsid w:val="002F7DB9"/>
    <w:rsid w:val="00302F95"/>
    <w:rsid w:val="003043DF"/>
    <w:rsid w:val="00305CB9"/>
    <w:rsid w:val="00305EFC"/>
    <w:rsid w:val="003078BE"/>
    <w:rsid w:val="003206E3"/>
    <w:rsid w:val="00322F07"/>
    <w:rsid w:val="00325F29"/>
    <w:rsid w:val="0033709C"/>
    <w:rsid w:val="00337EFB"/>
    <w:rsid w:val="00340029"/>
    <w:rsid w:val="00340917"/>
    <w:rsid w:val="003418A8"/>
    <w:rsid w:val="00343344"/>
    <w:rsid w:val="003460C0"/>
    <w:rsid w:val="00346913"/>
    <w:rsid w:val="00351E84"/>
    <w:rsid w:val="003571E8"/>
    <w:rsid w:val="00357B1F"/>
    <w:rsid w:val="00366626"/>
    <w:rsid w:val="003710C3"/>
    <w:rsid w:val="00374B75"/>
    <w:rsid w:val="003830BA"/>
    <w:rsid w:val="00384596"/>
    <w:rsid w:val="00387C70"/>
    <w:rsid w:val="00390BFA"/>
    <w:rsid w:val="00391798"/>
    <w:rsid w:val="003A0957"/>
    <w:rsid w:val="003A41F7"/>
    <w:rsid w:val="003B232C"/>
    <w:rsid w:val="003B4828"/>
    <w:rsid w:val="003D3638"/>
    <w:rsid w:val="003D3852"/>
    <w:rsid w:val="003D5ABC"/>
    <w:rsid w:val="003D6194"/>
    <w:rsid w:val="003E4258"/>
    <w:rsid w:val="003E45EC"/>
    <w:rsid w:val="003E6FF6"/>
    <w:rsid w:val="003F36C9"/>
    <w:rsid w:val="003F53A0"/>
    <w:rsid w:val="004002A1"/>
    <w:rsid w:val="00401878"/>
    <w:rsid w:val="004022D1"/>
    <w:rsid w:val="00406EBE"/>
    <w:rsid w:val="00410AD0"/>
    <w:rsid w:val="00412520"/>
    <w:rsid w:val="004152E7"/>
    <w:rsid w:val="004154A1"/>
    <w:rsid w:val="00415B1C"/>
    <w:rsid w:val="004217B9"/>
    <w:rsid w:val="00423446"/>
    <w:rsid w:val="00424407"/>
    <w:rsid w:val="00430F40"/>
    <w:rsid w:val="00434EBD"/>
    <w:rsid w:val="004362BA"/>
    <w:rsid w:val="00437863"/>
    <w:rsid w:val="00445F9D"/>
    <w:rsid w:val="0044786F"/>
    <w:rsid w:val="004514F6"/>
    <w:rsid w:val="00451F2C"/>
    <w:rsid w:val="00455A35"/>
    <w:rsid w:val="00455E75"/>
    <w:rsid w:val="00457651"/>
    <w:rsid w:val="004612CE"/>
    <w:rsid w:val="004619C3"/>
    <w:rsid w:val="004641D7"/>
    <w:rsid w:val="0046428A"/>
    <w:rsid w:val="0046554A"/>
    <w:rsid w:val="004661AA"/>
    <w:rsid w:val="004716F5"/>
    <w:rsid w:val="004771D8"/>
    <w:rsid w:val="004816D2"/>
    <w:rsid w:val="00486D01"/>
    <w:rsid w:val="00487AD8"/>
    <w:rsid w:val="00497941"/>
    <w:rsid w:val="004A0376"/>
    <w:rsid w:val="004B0A21"/>
    <w:rsid w:val="004B3E8F"/>
    <w:rsid w:val="004C4298"/>
    <w:rsid w:val="004D2A50"/>
    <w:rsid w:val="004D3437"/>
    <w:rsid w:val="004D405B"/>
    <w:rsid w:val="004D676E"/>
    <w:rsid w:val="004D7420"/>
    <w:rsid w:val="004D7CFB"/>
    <w:rsid w:val="004E2E0D"/>
    <w:rsid w:val="004F2D03"/>
    <w:rsid w:val="004F3F6E"/>
    <w:rsid w:val="004F57C5"/>
    <w:rsid w:val="004F7621"/>
    <w:rsid w:val="004F7F91"/>
    <w:rsid w:val="005014FF"/>
    <w:rsid w:val="005022E0"/>
    <w:rsid w:val="00502DE0"/>
    <w:rsid w:val="00503F77"/>
    <w:rsid w:val="005045F2"/>
    <w:rsid w:val="00506C0C"/>
    <w:rsid w:val="0050791C"/>
    <w:rsid w:val="005104DD"/>
    <w:rsid w:val="00510CD8"/>
    <w:rsid w:val="005126E3"/>
    <w:rsid w:val="00513C5A"/>
    <w:rsid w:val="005151B6"/>
    <w:rsid w:val="005167EA"/>
    <w:rsid w:val="0052350F"/>
    <w:rsid w:val="00527D1D"/>
    <w:rsid w:val="00531265"/>
    <w:rsid w:val="00534A98"/>
    <w:rsid w:val="00535214"/>
    <w:rsid w:val="005353BC"/>
    <w:rsid w:val="00535466"/>
    <w:rsid w:val="00535625"/>
    <w:rsid w:val="00535CC4"/>
    <w:rsid w:val="0054010E"/>
    <w:rsid w:val="00547447"/>
    <w:rsid w:val="005510FF"/>
    <w:rsid w:val="00555931"/>
    <w:rsid w:val="005562E7"/>
    <w:rsid w:val="00561841"/>
    <w:rsid w:val="005641A8"/>
    <w:rsid w:val="00564E9B"/>
    <w:rsid w:val="00566633"/>
    <w:rsid w:val="00566F89"/>
    <w:rsid w:val="00567108"/>
    <w:rsid w:val="005733D1"/>
    <w:rsid w:val="00580B73"/>
    <w:rsid w:val="005829E9"/>
    <w:rsid w:val="00583A45"/>
    <w:rsid w:val="0058543B"/>
    <w:rsid w:val="0058597C"/>
    <w:rsid w:val="00587451"/>
    <w:rsid w:val="00590A66"/>
    <w:rsid w:val="00592399"/>
    <w:rsid w:val="005931C2"/>
    <w:rsid w:val="0059550F"/>
    <w:rsid w:val="00596239"/>
    <w:rsid w:val="00597DEE"/>
    <w:rsid w:val="005A3A97"/>
    <w:rsid w:val="005A5D32"/>
    <w:rsid w:val="005A7E6B"/>
    <w:rsid w:val="005B05C3"/>
    <w:rsid w:val="005C0384"/>
    <w:rsid w:val="005C24F6"/>
    <w:rsid w:val="005C3901"/>
    <w:rsid w:val="005D0285"/>
    <w:rsid w:val="005D6CED"/>
    <w:rsid w:val="005D6F0F"/>
    <w:rsid w:val="005E58AE"/>
    <w:rsid w:val="005F4E7F"/>
    <w:rsid w:val="005F5BE4"/>
    <w:rsid w:val="005F790B"/>
    <w:rsid w:val="00606156"/>
    <w:rsid w:val="00607699"/>
    <w:rsid w:val="00610D98"/>
    <w:rsid w:val="00611922"/>
    <w:rsid w:val="00611C3A"/>
    <w:rsid w:val="00616B24"/>
    <w:rsid w:val="00616F58"/>
    <w:rsid w:val="00617CBC"/>
    <w:rsid w:val="006209BA"/>
    <w:rsid w:val="006301E0"/>
    <w:rsid w:val="006375BD"/>
    <w:rsid w:val="0063778C"/>
    <w:rsid w:val="00637A5E"/>
    <w:rsid w:val="00637B1C"/>
    <w:rsid w:val="006438ED"/>
    <w:rsid w:val="006457A7"/>
    <w:rsid w:val="00652849"/>
    <w:rsid w:val="00656F4A"/>
    <w:rsid w:val="00663550"/>
    <w:rsid w:val="0066405E"/>
    <w:rsid w:val="006653CD"/>
    <w:rsid w:val="00665758"/>
    <w:rsid w:val="006659C0"/>
    <w:rsid w:val="006668C0"/>
    <w:rsid w:val="00666AC8"/>
    <w:rsid w:val="00667027"/>
    <w:rsid w:val="00667651"/>
    <w:rsid w:val="00675E08"/>
    <w:rsid w:val="006760AA"/>
    <w:rsid w:val="006764CD"/>
    <w:rsid w:val="00681608"/>
    <w:rsid w:val="006877B7"/>
    <w:rsid w:val="00690DDE"/>
    <w:rsid w:val="00690E51"/>
    <w:rsid w:val="00695787"/>
    <w:rsid w:val="0069595B"/>
    <w:rsid w:val="006A1B70"/>
    <w:rsid w:val="006A7F79"/>
    <w:rsid w:val="006B057F"/>
    <w:rsid w:val="006B3703"/>
    <w:rsid w:val="006B4530"/>
    <w:rsid w:val="006C1814"/>
    <w:rsid w:val="006C2BB2"/>
    <w:rsid w:val="006C2D41"/>
    <w:rsid w:val="006C6F5C"/>
    <w:rsid w:val="006D4376"/>
    <w:rsid w:val="006D4465"/>
    <w:rsid w:val="006D5A5F"/>
    <w:rsid w:val="006D5CC9"/>
    <w:rsid w:val="006D5E35"/>
    <w:rsid w:val="006D6B40"/>
    <w:rsid w:val="006E04D2"/>
    <w:rsid w:val="006E111C"/>
    <w:rsid w:val="006E44A9"/>
    <w:rsid w:val="006F1028"/>
    <w:rsid w:val="006F15F4"/>
    <w:rsid w:val="006F4F70"/>
    <w:rsid w:val="00700102"/>
    <w:rsid w:val="0070172B"/>
    <w:rsid w:val="00703B9E"/>
    <w:rsid w:val="00706732"/>
    <w:rsid w:val="0071152A"/>
    <w:rsid w:val="00711D52"/>
    <w:rsid w:val="00717E7A"/>
    <w:rsid w:val="007206D8"/>
    <w:rsid w:val="0072139E"/>
    <w:rsid w:val="00721466"/>
    <w:rsid w:val="00722700"/>
    <w:rsid w:val="00723301"/>
    <w:rsid w:val="007245A5"/>
    <w:rsid w:val="00724F05"/>
    <w:rsid w:val="00726B82"/>
    <w:rsid w:val="00732FA3"/>
    <w:rsid w:val="007366D4"/>
    <w:rsid w:val="00747B13"/>
    <w:rsid w:val="00752936"/>
    <w:rsid w:val="00752C2D"/>
    <w:rsid w:val="00753530"/>
    <w:rsid w:val="00756387"/>
    <w:rsid w:val="00765175"/>
    <w:rsid w:val="00766A41"/>
    <w:rsid w:val="00766EC4"/>
    <w:rsid w:val="00770364"/>
    <w:rsid w:val="007745CC"/>
    <w:rsid w:val="00775262"/>
    <w:rsid w:val="00777B42"/>
    <w:rsid w:val="00780EF9"/>
    <w:rsid w:val="007819CA"/>
    <w:rsid w:val="00783896"/>
    <w:rsid w:val="00786C5B"/>
    <w:rsid w:val="0079014B"/>
    <w:rsid w:val="00793ADB"/>
    <w:rsid w:val="007972A9"/>
    <w:rsid w:val="007A730E"/>
    <w:rsid w:val="007A79A2"/>
    <w:rsid w:val="007B17A8"/>
    <w:rsid w:val="007B79A8"/>
    <w:rsid w:val="007C002D"/>
    <w:rsid w:val="007C2F03"/>
    <w:rsid w:val="007C3E3F"/>
    <w:rsid w:val="007C5FC2"/>
    <w:rsid w:val="007C7001"/>
    <w:rsid w:val="007D2C16"/>
    <w:rsid w:val="007D4366"/>
    <w:rsid w:val="007D488D"/>
    <w:rsid w:val="007E56F4"/>
    <w:rsid w:val="007E5ACC"/>
    <w:rsid w:val="007E6166"/>
    <w:rsid w:val="007F1155"/>
    <w:rsid w:val="007F753C"/>
    <w:rsid w:val="00807616"/>
    <w:rsid w:val="00814036"/>
    <w:rsid w:val="00830960"/>
    <w:rsid w:val="008366EB"/>
    <w:rsid w:val="00837CA0"/>
    <w:rsid w:val="00840AD3"/>
    <w:rsid w:val="008428AC"/>
    <w:rsid w:val="008444F3"/>
    <w:rsid w:val="00846560"/>
    <w:rsid w:val="00847A58"/>
    <w:rsid w:val="0085046E"/>
    <w:rsid w:val="00854B63"/>
    <w:rsid w:val="008607E7"/>
    <w:rsid w:val="008617B2"/>
    <w:rsid w:val="00863F38"/>
    <w:rsid w:val="00874D00"/>
    <w:rsid w:val="008752BD"/>
    <w:rsid w:val="00875664"/>
    <w:rsid w:val="00880F8F"/>
    <w:rsid w:val="0088285E"/>
    <w:rsid w:val="00882FC2"/>
    <w:rsid w:val="008847B2"/>
    <w:rsid w:val="00884FB4"/>
    <w:rsid w:val="008870C2"/>
    <w:rsid w:val="00893E72"/>
    <w:rsid w:val="00895CDA"/>
    <w:rsid w:val="008978F4"/>
    <w:rsid w:val="008A07A0"/>
    <w:rsid w:val="008B30CD"/>
    <w:rsid w:val="008B3657"/>
    <w:rsid w:val="008B5A2F"/>
    <w:rsid w:val="008C2566"/>
    <w:rsid w:val="008C281E"/>
    <w:rsid w:val="008C2839"/>
    <w:rsid w:val="008C4BA1"/>
    <w:rsid w:val="008D0EB7"/>
    <w:rsid w:val="008E2488"/>
    <w:rsid w:val="008E29F3"/>
    <w:rsid w:val="008E51F1"/>
    <w:rsid w:val="008F1135"/>
    <w:rsid w:val="008F1992"/>
    <w:rsid w:val="008F2411"/>
    <w:rsid w:val="008F2E3B"/>
    <w:rsid w:val="008F564D"/>
    <w:rsid w:val="009077E1"/>
    <w:rsid w:val="00911138"/>
    <w:rsid w:val="00913A95"/>
    <w:rsid w:val="00916AE3"/>
    <w:rsid w:val="00922750"/>
    <w:rsid w:val="00930148"/>
    <w:rsid w:val="00932163"/>
    <w:rsid w:val="00934091"/>
    <w:rsid w:val="009345B8"/>
    <w:rsid w:val="00936098"/>
    <w:rsid w:val="00937986"/>
    <w:rsid w:val="00941DC9"/>
    <w:rsid w:val="009471D8"/>
    <w:rsid w:val="00952144"/>
    <w:rsid w:val="00952C3F"/>
    <w:rsid w:val="009544AD"/>
    <w:rsid w:val="00957681"/>
    <w:rsid w:val="0096300B"/>
    <w:rsid w:val="00963C77"/>
    <w:rsid w:val="0096405C"/>
    <w:rsid w:val="009673EE"/>
    <w:rsid w:val="00972BC5"/>
    <w:rsid w:val="0097359E"/>
    <w:rsid w:val="00977257"/>
    <w:rsid w:val="00980BA3"/>
    <w:rsid w:val="00981A42"/>
    <w:rsid w:val="0099431C"/>
    <w:rsid w:val="009A0A65"/>
    <w:rsid w:val="009A3C25"/>
    <w:rsid w:val="009A420D"/>
    <w:rsid w:val="009B529B"/>
    <w:rsid w:val="009B6702"/>
    <w:rsid w:val="009D53BE"/>
    <w:rsid w:val="009E29BE"/>
    <w:rsid w:val="009E43F4"/>
    <w:rsid w:val="009E7274"/>
    <w:rsid w:val="009F2E9B"/>
    <w:rsid w:val="009F3AF7"/>
    <w:rsid w:val="009F5221"/>
    <w:rsid w:val="009F7EE5"/>
    <w:rsid w:val="00A04904"/>
    <w:rsid w:val="00A05F3B"/>
    <w:rsid w:val="00A060CB"/>
    <w:rsid w:val="00A14B82"/>
    <w:rsid w:val="00A1507F"/>
    <w:rsid w:val="00A1547C"/>
    <w:rsid w:val="00A22DD0"/>
    <w:rsid w:val="00A2358A"/>
    <w:rsid w:val="00A31422"/>
    <w:rsid w:val="00A35484"/>
    <w:rsid w:val="00A35AB3"/>
    <w:rsid w:val="00A40280"/>
    <w:rsid w:val="00A47C61"/>
    <w:rsid w:val="00A51253"/>
    <w:rsid w:val="00A5245D"/>
    <w:rsid w:val="00A52FEA"/>
    <w:rsid w:val="00A531CA"/>
    <w:rsid w:val="00A56081"/>
    <w:rsid w:val="00A562CA"/>
    <w:rsid w:val="00A578C7"/>
    <w:rsid w:val="00A637DE"/>
    <w:rsid w:val="00A66584"/>
    <w:rsid w:val="00A67964"/>
    <w:rsid w:val="00A73B04"/>
    <w:rsid w:val="00A76592"/>
    <w:rsid w:val="00A771D2"/>
    <w:rsid w:val="00A82276"/>
    <w:rsid w:val="00A828CB"/>
    <w:rsid w:val="00A84F03"/>
    <w:rsid w:val="00A87FA8"/>
    <w:rsid w:val="00A9344F"/>
    <w:rsid w:val="00A937B0"/>
    <w:rsid w:val="00A94581"/>
    <w:rsid w:val="00A95336"/>
    <w:rsid w:val="00A96366"/>
    <w:rsid w:val="00A97762"/>
    <w:rsid w:val="00AA05C5"/>
    <w:rsid w:val="00AA1A5E"/>
    <w:rsid w:val="00AB1A9C"/>
    <w:rsid w:val="00AB21D6"/>
    <w:rsid w:val="00AB59A8"/>
    <w:rsid w:val="00AB5E7A"/>
    <w:rsid w:val="00AB622E"/>
    <w:rsid w:val="00AB6539"/>
    <w:rsid w:val="00AC2CC0"/>
    <w:rsid w:val="00AC56B6"/>
    <w:rsid w:val="00AC6F7C"/>
    <w:rsid w:val="00AC7216"/>
    <w:rsid w:val="00AE5C08"/>
    <w:rsid w:val="00AE6C56"/>
    <w:rsid w:val="00AF05AE"/>
    <w:rsid w:val="00AF1338"/>
    <w:rsid w:val="00AF3535"/>
    <w:rsid w:val="00AF413C"/>
    <w:rsid w:val="00AF7A1A"/>
    <w:rsid w:val="00AF7FC2"/>
    <w:rsid w:val="00B002C8"/>
    <w:rsid w:val="00B01BFD"/>
    <w:rsid w:val="00B0598A"/>
    <w:rsid w:val="00B0607B"/>
    <w:rsid w:val="00B151AB"/>
    <w:rsid w:val="00B21879"/>
    <w:rsid w:val="00B27180"/>
    <w:rsid w:val="00B30EC0"/>
    <w:rsid w:val="00B31BF4"/>
    <w:rsid w:val="00B356ED"/>
    <w:rsid w:val="00B37667"/>
    <w:rsid w:val="00B418F4"/>
    <w:rsid w:val="00B426FE"/>
    <w:rsid w:val="00B47F4F"/>
    <w:rsid w:val="00B50A34"/>
    <w:rsid w:val="00B55A0E"/>
    <w:rsid w:val="00B57CF4"/>
    <w:rsid w:val="00B60A51"/>
    <w:rsid w:val="00B60E28"/>
    <w:rsid w:val="00B63932"/>
    <w:rsid w:val="00B64693"/>
    <w:rsid w:val="00B71C80"/>
    <w:rsid w:val="00B736BE"/>
    <w:rsid w:val="00B7698B"/>
    <w:rsid w:val="00B81DC3"/>
    <w:rsid w:val="00B8408F"/>
    <w:rsid w:val="00B94315"/>
    <w:rsid w:val="00B96455"/>
    <w:rsid w:val="00BA2FC3"/>
    <w:rsid w:val="00BA3041"/>
    <w:rsid w:val="00BA4E0C"/>
    <w:rsid w:val="00BB6C4D"/>
    <w:rsid w:val="00BB7C62"/>
    <w:rsid w:val="00BB7EAE"/>
    <w:rsid w:val="00BC5603"/>
    <w:rsid w:val="00BD508A"/>
    <w:rsid w:val="00BE17F7"/>
    <w:rsid w:val="00BE1DBE"/>
    <w:rsid w:val="00BE31A3"/>
    <w:rsid w:val="00BE31B8"/>
    <w:rsid w:val="00BE506E"/>
    <w:rsid w:val="00BE65F1"/>
    <w:rsid w:val="00BF002F"/>
    <w:rsid w:val="00BF2691"/>
    <w:rsid w:val="00BF4AF2"/>
    <w:rsid w:val="00BF67D9"/>
    <w:rsid w:val="00BF709A"/>
    <w:rsid w:val="00C004FF"/>
    <w:rsid w:val="00C06005"/>
    <w:rsid w:val="00C12BAA"/>
    <w:rsid w:val="00C17C86"/>
    <w:rsid w:val="00C312C9"/>
    <w:rsid w:val="00C33FB4"/>
    <w:rsid w:val="00C34101"/>
    <w:rsid w:val="00C37447"/>
    <w:rsid w:val="00C4019C"/>
    <w:rsid w:val="00C46940"/>
    <w:rsid w:val="00C501EA"/>
    <w:rsid w:val="00C50AA5"/>
    <w:rsid w:val="00C54CE1"/>
    <w:rsid w:val="00C60729"/>
    <w:rsid w:val="00C60CBC"/>
    <w:rsid w:val="00C6115E"/>
    <w:rsid w:val="00C66075"/>
    <w:rsid w:val="00C66253"/>
    <w:rsid w:val="00C6650E"/>
    <w:rsid w:val="00C666EB"/>
    <w:rsid w:val="00C6757F"/>
    <w:rsid w:val="00C81AC7"/>
    <w:rsid w:val="00C828D6"/>
    <w:rsid w:val="00C845C3"/>
    <w:rsid w:val="00C87978"/>
    <w:rsid w:val="00C87EA8"/>
    <w:rsid w:val="00C9154E"/>
    <w:rsid w:val="00C91C29"/>
    <w:rsid w:val="00C93250"/>
    <w:rsid w:val="00C94613"/>
    <w:rsid w:val="00C96CDF"/>
    <w:rsid w:val="00CA0C4F"/>
    <w:rsid w:val="00CA289F"/>
    <w:rsid w:val="00CA56DA"/>
    <w:rsid w:val="00CA6144"/>
    <w:rsid w:val="00CA64C3"/>
    <w:rsid w:val="00CB00E3"/>
    <w:rsid w:val="00CB543D"/>
    <w:rsid w:val="00CB5767"/>
    <w:rsid w:val="00CB77BB"/>
    <w:rsid w:val="00CC0515"/>
    <w:rsid w:val="00CC06E5"/>
    <w:rsid w:val="00CC09CE"/>
    <w:rsid w:val="00CC1810"/>
    <w:rsid w:val="00CC47DF"/>
    <w:rsid w:val="00CC5348"/>
    <w:rsid w:val="00CC54F3"/>
    <w:rsid w:val="00CD32AF"/>
    <w:rsid w:val="00CD3C2B"/>
    <w:rsid w:val="00CD4306"/>
    <w:rsid w:val="00CD4C68"/>
    <w:rsid w:val="00CD56A3"/>
    <w:rsid w:val="00CD58D3"/>
    <w:rsid w:val="00CE0070"/>
    <w:rsid w:val="00CE0C4B"/>
    <w:rsid w:val="00CE1245"/>
    <w:rsid w:val="00CE3C39"/>
    <w:rsid w:val="00CE62DD"/>
    <w:rsid w:val="00CE75EE"/>
    <w:rsid w:val="00CE7E21"/>
    <w:rsid w:val="00CF555D"/>
    <w:rsid w:val="00D014CE"/>
    <w:rsid w:val="00D020C7"/>
    <w:rsid w:val="00D0643B"/>
    <w:rsid w:val="00D0702B"/>
    <w:rsid w:val="00D07E6A"/>
    <w:rsid w:val="00D11A0D"/>
    <w:rsid w:val="00D121C0"/>
    <w:rsid w:val="00D13D12"/>
    <w:rsid w:val="00D14D9B"/>
    <w:rsid w:val="00D16295"/>
    <w:rsid w:val="00D20126"/>
    <w:rsid w:val="00D212C2"/>
    <w:rsid w:val="00D26884"/>
    <w:rsid w:val="00D37EA6"/>
    <w:rsid w:val="00D43408"/>
    <w:rsid w:val="00D44FFF"/>
    <w:rsid w:val="00D45A4B"/>
    <w:rsid w:val="00D57F9E"/>
    <w:rsid w:val="00D6525E"/>
    <w:rsid w:val="00D66C89"/>
    <w:rsid w:val="00D67568"/>
    <w:rsid w:val="00D70B1D"/>
    <w:rsid w:val="00D743C0"/>
    <w:rsid w:val="00D75B43"/>
    <w:rsid w:val="00D8282A"/>
    <w:rsid w:val="00D8289D"/>
    <w:rsid w:val="00D87A2A"/>
    <w:rsid w:val="00D91731"/>
    <w:rsid w:val="00D9387C"/>
    <w:rsid w:val="00D95204"/>
    <w:rsid w:val="00DA388C"/>
    <w:rsid w:val="00DA5F2E"/>
    <w:rsid w:val="00DA723A"/>
    <w:rsid w:val="00DA73A2"/>
    <w:rsid w:val="00DB001D"/>
    <w:rsid w:val="00DB711A"/>
    <w:rsid w:val="00DC225D"/>
    <w:rsid w:val="00DC26EE"/>
    <w:rsid w:val="00DC6E53"/>
    <w:rsid w:val="00DD2464"/>
    <w:rsid w:val="00DD24EB"/>
    <w:rsid w:val="00DE089B"/>
    <w:rsid w:val="00DE7C02"/>
    <w:rsid w:val="00DF2986"/>
    <w:rsid w:val="00DF3ED0"/>
    <w:rsid w:val="00DF77C0"/>
    <w:rsid w:val="00DF7B43"/>
    <w:rsid w:val="00E01E11"/>
    <w:rsid w:val="00E03C4C"/>
    <w:rsid w:val="00E12C9B"/>
    <w:rsid w:val="00E17176"/>
    <w:rsid w:val="00E26BD3"/>
    <w:rsid w:val="00E308C6"/>
    <w:rsid w:val="00E3694C"/>
    <w:rsid w:val="00E36F2A"/>
    <w:rsid w:val="00E407F4"/>
    <w:rsid w:val="00E45487"/>
    <w:rsid w:val="00E468ED"/>
    <w:rsid w:val="00E474BF"/>
    <w:rsid w:val="00E5214C"/>
    <w:rsid w:val="00E54450"/>
    <w:rsid w:val="00E56B82"/>
    <w:rsid w:val="00E57B00"/>
    <w:rsid w:val="00E6531A"/>
    <w:rsid w:val="00E741A1"/>
    <w:rsid w:val="00E76A29"/>
    <w:rsid w:val="00E83597"/>
    <w:rsid w:val="00E8471C"/>
    <w:rsid w:val="00E863F5"/>
    <w:rsid w:val="00E93082"/>
    <w:rsid w:val="00E93E6D"/>
    <w:rsid w:val="00E9422C"/>
    <w:rsid w:val="00E968EB"/>
    <w:rsid w:val="00EA0AB3"/>
    <w:rsid w:val="00EA52BF"/>
    <w:rsid w:val="00EA593A"/>
    <w:rsid w:val="00EA7D24"/>
    <w:rsid w:val="00EB44AE"/>
    <w:rsid w:val="00EB4A5E"/>
    <w:rsid w:val="00EB4A68"/>
    <w:rsid w:val="00EB6B30"/>
    <w:rsid w:val="00EC06FB"/>
    <w:rsid w:val="00EC0E1B"/>
    <w:rsid w:val="00EC243B"/>
    <w:rsid w:val="00EC33E0"/>
    <w:rsid w:val="00EC7938"/>
    <w:rsid w:val="00EC796E"/>
    <w:rsid w:val="00ED5987"/>
    <w:rsid w:val="00EE475D"/>
    <w:rsid w:val="00EE58B9"/>
    <w:rsid w:val="00EE7745"/>
    <w:rsid w:val="00EF066C"/>
    <w:rsid w:val="00EF2690"/>
    <w:rsid w:val="00EF6FD1"/>
    <w:rsid w:val="00F023CF"/>
    <w:rsid w:val="00F037A2"/>
    <w:rsid w:val="00F03B6C"/>
    <w:rsid w:val="00F111C6"/>
    <w:rsid w:val="00F121A5"/>
    <w:rsid w:val="00F17FDE"/>
    <w:rsid w:val="00F22623"/>
    <w:rsid w:val="00F2304D"/>
    <w:rsid w:val="00F238E7"/>
    <w:rsid w:val="00F30E0B"/>
    <w:rsid w:val="00F31256"/>
    <w:rsid w:val="00F32579"/>
    <w:rsid w:val="00F3299E"/>
    <w:rsid w:val="00F34918"/>
    <w:rsid w:val="00F3513C"/>
    <w:rsid w:val="00F35E0F"/>
    <w:rsid w:val="00F374A9"/>
    <w:rsid w:val="00F374AC"/>
    <w:rsid w:val="00F40EC7"/>
    <w:rsid w:val="00F41C2F"/>
    <w:rsid w:val="00F42660"/>
    <w:rsid w:val="00F44908"/>
    <w:rsid w:val="00F57549"/>
    <w:rsid w:val="00F6582E"/>
    <w:rsid w:val="00F66330"/>
    <w:rsid w:val="00F675A7"/>
    <w:rsid w:val="00F715AC"/>
    <w:rsid w:val="00F74ED8"/>
    <w:rsid w:val="00F75B47"/>
    <w:rsid w:val="00F7750D"/>
    <w:rsid w:val="00F83654"/>
    <w:rsid w:val="00F87A94"/>
    <w:rsid w:val="00F9064A"/>
    <w:rsid w:val="00F93465"/>
    <w:rsid w:val="00F949E8"/>
    <w:rsid w:val="00FA030F"/>
    <w:rsid w:val="00FA0344"/>
    <w:rsid w:val="00FA2969"/>
    <w:rsid w:val="00FA4325"/>
    <w:rsid w:val="00FA4B4F"/>
    <w:rsid w:val="00FA6A17"/>
    <w:rsid w:val="00FA77C2"/>
    <w:rsid w:val="00FB1247"/>
    <w:rsid w:val="00FB17BD"/>
    <w:rsid w:val="00FB1E4A"/>
    <w:rsid w:val="00FB2F4D"/>
    <w:rsid w:val="00FB5D77"/>
    <w:rsid w:val="00FB5FDB"/>
    <w:rsid w:val="00FB63A9"/>
    <w:rsid w:val="00FB64D6"/>
    <w:rsid w:val="00FC2544"/>
    <w:rsid w:val="00FC4200"/>
    <w:rsid w:val="00FC4A66"/>
    <w:rsid w:val="00FC6223"/>
    <w:rsid w:val="00FD0514"/>
    <w:rsid w:val="00FD1769"/>
    <w:rsid w:val="00FD4458"/>
    <w:rsid w:val="00FD6454"/>
    <w:rsid w:val="00FD6A4B"/>
    <w:rsid w:val="00FF2864"/>
    <w:rsid w:val="00FF310E"/>
    <w:rsid w:val="00FF4868"/>
    <w:rsid w:val="00FF5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B2FD2"/>
  <w15:docId w15:val="{7C2C6FBA-8984-4E54-84B0-60C4A442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366"/>
    <w:pPr>
      <w:spacing w:after="100" w:afterAutospacing="1"/>
    </w:pPr>
    <w:rPr>
      <w:rFonts w:ascii="Times New Roman" w:hAnsi="Times New Roman" w:cs="Times New Roman"/>
      <w:sz w:val="24"/>
      <w:szCs w:val="22"/>
    </w:rPr>
  </w:style>
  <w:style w:type="paragraph" w:styleId="Heading2">
    <w:name w:val="heading 2"/>
    <w:basedOn w:val="Normal"/>
    <w:link w:val="Heading2Char"/>
    <w:uiPriority w:val="9"/>
    <w:qFormat/>
    <w:rsid w:val="00CE3C39"/>
    <w:pPr>
      <w:spacing w:before="100" w:beforeAutospacing="1"/>
      <w:outlineLvl w:val="1"/>
    </w:pPr>
    <w:rPr>
      <w:rFonts w:eastAsia="Times New Roman"/>
      <w:b/>
      <w:bCs/>
      <w:sz w:val="36"/>
      <w:szCs w:val="36"/>
    </w:rPr>
  </w:style>
  <w:style w:type="paragraph" w:styleId="Heading3">
    <w:name w:val="heading 3"/>
    <w:basedOn w:val="Normal"/>
    <w:link w:val="Heading3Char"/>
    <w:uiPriority w:val="9"/>
    <w:qFormat/>
    <w:rsid w:val="00CE3C39"/>
    <w:pPr>
      <w:spacing w:before="100" w:beforeAutospacing="1"/>
      <w:outlineLvl w:val="2"/>
    </w:pPr>
    <w:rPr>
      <w:rFonts w:eastAsia="Times New Roman"/>
      <w:b/>
      <w:bCs/>
      <w:sz w:val="27"/>
      <w:szCs w:val="27"/>
    </w:rPr>
  </w:style>
  <w:style w:type="paragraph" w:styleId="Heading5">
    <w:name w:val="heading 5"/>
    <w:basedOn w:val="Normal"/>
    <w:link w:val="Heading5Char"/>
    <w:uiPriority w:val="9"/>
    <w:qFormat/>
    <w:rsid w:val="00FA030F"/>
    <w:pPr>
      <w:spacing w:before="100" w:beforeAutospacing="1"/>
      <w:outlineLvl w:val="4"/>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A79A2"/>
    <w:pPr>
      <w:spacing w:after="0"/>
    </w:pPr>
    <w:rPr>
      <w:rFonts w:ascii="Helv" w:eastAsia="Times New Roman" w:hAnsi="Helv"/>
      <w:color w:val="000000"/>
      <w:sz w:val="20"/>
      <w:szCs w:val="20"/>
    </w:rPr>
  </w:style>
  <w:style w:type="character" w:customStyle="1" w:styleId="BodyTextChar">
    <w:name w:val="Body Text Char"/>
    <w:link w:val="BodyText"/>
    <w:rsid w:val="007A79A2"/>
    <w:rPr>
      <w:rFonts w:ascii="Helv" w:eastAsia="Times New Roman" w:hAnsi="Helv"/>
      <w:color w:val="000000"/>
    </w:rPr>
  </w:style>
  <w:style w:type="paragraph" w:customStyle="1" w:styleId="Default">
    <w:name w:val="Default"/>
    <w:rsid w:val="007A79A2"/>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Default"/>
    <w:next w:val="Default"/>
    <w:uiPriority w:val="99"/>
    <w:rsid w:val="007A79A2"/>
    <w:pPr>
      <w:spacing w:before="120" w:after="120"/>
    </w:pPr>
    <w:rPr>
      <w:color w:val="auto"/>
    </w:rPr>
  </w:style>
  <w:style w:type="character" w:styleId="Hyperlink">
    <w:name w:val="Hyperlink"/>
    <w:rsid w:val="007A79A2"/>
    <w:rPr>
      <w:b/>
      <w:bCs/>
      <w:i/>
      <w:iCs/>
      <w:color w:val="000000"/>
    </w:rPr>
  </w:style>
  <w:style w:type="paragraph" w:styleId="Header">
    <w:name w:val="header"/>
    <w:basedOn w:val="Normal"/>
    <w:link w:val="HeaderChar"/>
    <w:uiPriority w:val="99"/>
    <w:rsid w:val="007A79A2"/>
    <w:pPr>
      <w:tabs>
        <w:tab w:val="center" w:pos="4320"/>
        <w:tab w:val="right" w:pos="8640"/>
      </w:tabs>
      <w:spacing w:after="0"/>
    </w:pPr>
    <w:rPr>
      <w:rFonts w:ascii="Arial" w:eastAsia="Times New Roman" w:hAnsi="Arial"/>
      <w:sz w:val="22"/>
    </w:rPr>
  </w:style>
  <w:style w:type="character" w:customStyle="1" w:styleId="HeaderChar">
    <w:name w:val="Header Char"/>
    <w:link w:val="Header"/>
    <w:uiPriority w:val="99"/>
    <w:rsid w:val="007A79A2"/>
    <w:rPr>
      <w:rFonts w:ascii="Arial" w:eastAsia="Times New Roman" w:hAnsi="Arial"/>
      <w:sz w:val="22"/>
      <w:szCs w:val="22"/>
    </w:rPr>
  </w:style>
  <w:style w:type="paragraph" w:styleId="BalloonText">
    <w:name w:val="Balloon Text"/>
    <w:basedOn w:val="Normal"/>
    <w:link w:val="BalloonTextChar"/>
    <w:uiPriority w:val="99"/>
    <w:semiHidden/>
    <w:unhideWhenUsed/>
    <w:rsid w:val="007A79A2"/>
    <w:pPr>
      <w:spacing w:after="0"/>
    </w:pPr>
    <w:rPr>
      <w:rFonts w:ascii="Tahoma" w:hAnsi="Tahoma"/>
      <w:sz w:val="16"/>
      <w:szCs w:val="16"/>
    </w:rPr>
  </w:style>
  <w:style w:type="character" w:customStyle="1" w:styleId="BalloonTextChar">
    <w:name w:val="Balloon Text Char"/>
    <w:link w:val="BalloonText"/>
    <w:uiPriority w:val="99"/>
    <w:semiHidden/>
    <w:rsid w:val="007A79A2"/>
    <w:rPr>
      <w:rFonts w:ascii="Tahoma" w:hAnsi="Tahoma" w:cs="Tahoma"/>
      <w:sz w:val="16"/>
      <w:szCs w:val="16"/>
    </w:rPr>
  </w:style>
  <w:style w:type="paragraph" w:styleId="Footer">
    <w:name w:val="footer"/>
    <w:basedOn w:val="Normal"/>
    <w:link w:val="FooterChar"/>
    <w:uiPriority w:val="99"/>
    <w:unhideWhenUsed/>
    <w:rsid w:val="00C33FB4"/>
    <w:pPr>
      <w:tabs>
        <w:tab w:val="center" w:pos="4680"/>
        <w:tab w:val="right" w:pos="9360"/>
      </w:tabs>
      <w:spacing w:after="0"/>
    </w:pPr>
    <w:rPr>
      <w:rFonts w:ascii="Arial" w:hAnsi="Arial"/>
      <w:sz w:val="22"/>
    </w:rPr>
  </w:style>
  <w:style w:type="character" w:customStyle="1" w:styleId="FooterChar">
    <w:name w:val="Footer Char"/>
    <w:link w:val="Footer"/>
    <w:uiPriority w:val="99"/>
    <w:rsid w:val="00C33FB4"/>
    <w:rPr>
      <w:sz w:val="22"/>
      <w:szCs w:val="22"/>
    </w:rPr>
  </w:style>
  <w:style w:type="character" w:customStyle="1" w:styleId="rowtitle">
    <w:name w:val="rowtitle"/>
    <w:basedOn w:val="DefaultParagraphFont"/>
    <w:rsid w:val="00AE5C08"/>
  </w:style>
  <w:style w:type="character" w:styleId="Strong">
    <w:name w:val="Strong"/>
    <w:qFormat/>
    <w:rsid w:val="004514F6"/>
    <w:rPr>
      <w:b/>
      <w:bCs/>
    </w:rPr>
  </w:style>
  <w:style w:type="character" w:customStyle="1" w:styleId="red">
    <w:name w:val="red"/>
    <w:basedOn w:val="DefaultParagraphFont"/>
    <w:rsid w:val="009E29BE"/>
  </w:style>
  <w:style w:type="paragraph" w:styleId="ListParagraph">
    <w:name w:val="List Paragraph"/>
    <w:basedOn w:val="Normal"/>
    <w:uiPriority w:val="34"/>
    <w:qFormat/>
    <w:rsid w:val="00091C0D"/>
    <w:pPr>
      <w:ind w:left="720"/>
      <w:contextualSpacing/>
    </w:pPr>
  </w:style>
  <w:style w:type="character" w:customStyle="1" w:styleId="Heading2Char">
    <w:name w:val="Heading 2 Char"/>
    <w:link w:val="Heading2"/>
    <w:uiPriority w:val="9"/>
    <w:rsid w:val="00CE3C39"/>
    <w:rPr>
      <w:rFonts w:ascii="Times New Roman" w:eastAsia="Times New Roman" w:hAnsi="Times New Roman" w:cs="Times New Roman"/>
      <w:b/>
      <w:bCs/>
      <w:sz w:val="36"/>
      <w:szCs w:val="36"/>
    </w:rPr>
  </w:style>
  <w:style w:type="character" w:customStyle="1" w:styleId="Heading3Char">
    <w:name w:val="Heading 3 Char"/>
    <w:link w:val="Heading3"/>
    <w:uiPriority w:val="9"/>
    <w:rsid w:val="00CE3C39"/>
    <w:rPr>
      <w:rFonts w:ascii="Times New Roman" w:eastAsia="Times New Roman" w:hAnsi="Times New Roman" w:cs="Times New Roman"/>
      <w:b/>
      <w:bCs/>
      <w:sz w:val="27"/>
      <w:szCs w:val="27"/>
    </w:rPr>
  </w:style>
  <w:style w:type="paragraph" w:styleId="NoSpacing">
    <w:name w:val="No Spacing"/>
    <w:uiPriority w:val="1"/>
    <w:qFormat/>
    <w:rsid w:val="00101F6E"/>
    <w:rPr>
      <w:rFonts w:ascii="Times New Roman" w:hAnsi="Times New Roman" w:cs="Times New Roman"/>
      <w:sz w:val="24"/>
      <w:szCs w:val="22"/>
    </w:rPr>
  </w:style>
  <w:style w:type="character" w:customStyle="1" w:styleId="codelink1">
    <w:name w:val="codelink1"/>
    <w:rsid w:val="00F03B6C"/>
    <w:rPr>
      <w:b w:val="0"/>
      <w:bCs w:val="0"/>
    </w:rPr>
  </w:style>
  <w:style w:type="character" w:customStyle="1" w:styleId="boldheader1">
    <w:name w:val="boldheader1"/>
    <w:rsid w:val="00F03B6C"/>
    <w:rPr>
      <w:b/>
      <w:bCs/>
    </w:rPr>
  </w:style>
  <w:style w:type="character" w:customStyle="1" w:styleId="searchcriteria1">
    <w:name w:val="searchcriteria1"/>
    <w:rsid w:val="00A56081"/>
    <w:rPr>
      <w:b/>
      <w:bCs/>
      <w:color w:val="CC0000"/>
      <w:bdr w:val="single" w:sz="6" w:space="0" w:color="DDDDDD" w:frame="1"/>
      <w:shd w:val="clear" w:color="auto" w:fill="EEEEEE"/>
    </w:rPr>
  </w:style>
  <w:style w:type="character" w:styleId="Emphasis">
    <w:name w:val="Emphasis"/>
    <w:uiPriority w:val="20"/>
    <w:qFormat/>
    <w:rsid w:val="00A56081"/>
    <w:rPr>
      <w:i/>
      <w:iCs/>
    </w:rPr>
  </w:style>
  <w:style w:type="paragraph" w:customStyle="1" w:styleId="DecimalAligned">
    <w:name w:val="Decimal Aligned"/>
    <w:basedOn w:val="Normal"/>
    <w:uiPriority w:val="40"/>
    <w:qFormat/>
    <w:rsid w:val="00941DC9"/>
    <w:pPr>
      <w:tabs>
        <w:tab w:val="decimal" w:pos="360"/>
      </w:tabs>
    </w:pPr>
    <w:rPr>
      <w:rFonts w:ascii="Calibri" w:eastAsia="Times New Roman" w:hAnsi="Calibri"/>
    </w:rPr>
  </w:style>
  <w:style w:type="paragraph" w:styleId="FootnoteText">
    <w:name w:val="footnote text"/>
    <w:basedOn w:val="Normal"/>
    <w:link w:val="FootnoteTextChar"/>
    <w:uiPriority w:val="99"/>
    <w:unhideWhenUsed/>
    <w:rsid w:val="00941DC9"/>
    <w:pPr>
      <w:spacing w:after="0"/>
    </w:pPr>
    <w:rPr>
      <w:rFonts w:ascii="Calibri" w:eastAsia="Times New Roman" w:hAnsi="Calibri"/>
      <w:sz w:val="20"/>
      <w:szCs w:val="20"/>
    </w:rPr>
  </w:style>
  <w:style w:type="character" w:customStyle="1" w:styleId="FootnoteTextChar">
    <w:name w:val="Footnote Text Char"/>
    <w:link w:val="FootnoteText"/>
    <w:uiPriority w:val="99"/>
    <w:rsid w:val="00941DC9"/>
    <w:rPr>
      <w:rFonts w:ascii="Calibri" w:eastAsia="Times New Roman" w:hAnsi="Calibri" w:cs="Times New Roman"/>
    </w:rPr>
  </w:style>
  <w:style w:type="character" w:styleId="SubtleEmphasis">
    <w:name w:val="Subtle Emphasis"/>
    <w:uiPriority w:val="19"/>
    <w:qFormat/>
    <w:rsid w:val="00941DC9"/>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941DC9"/>
    <w:rPr>
      <w:rFonts w:ascii="Calibri" w:eastAsia="Times New Roman" w:hAnsi="Calibri" w:cs="Times New Roman"/>
      <w:color w:val="365F91"/>
      <w:sz w:val="22"/>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5Char">
    <w:name w:val="Heading 5 Char"/>
    <w:link w:val="Heading5"/>
    <w:uiPriority w:val="9"/>
    <w:rsid w:val="00FA030F"/>
    <w:rPr>
      <w:rFonts w:ascii="Times New Roman" w:eastAsia="Times New Roman" w:hAnsi="Times New Roman" w:cs="Times New Roman"/>
      <w:b/>
      <w:bCs/>
    </w:rPr>
  </w:style>
  <w:style w:type="paragraph" w:customStyle="1" w:styleId="CM29">
    <w:name w:val="CM29"/>
    <w:basedOn w:val="Normal"/>
    <w:next w:val="Normal"/>
    <w:rsid w:val="00FC4A66"/>
    <w:pPr>
      <w:autoSpaceDE w:val="0"/>
      <w:autoSpaceDN w:val="0"/>
      <w:adjustRightInd w:val="0"/>
      <w:spacing w:after="0"/>
    </w:pPr>
    <w:rPr>
      <w:rFonts w:ascii="Century" w:eastAsia="Times New Roman" w:hAnsi="Century"/>
      <w:szCs w:val="24"/>
    </w:rPr>
  </w:style>
  <w:style w:type="character" w:styleId="EndnoteReference">
    <w:name w:val="endnote reference"/>
    <w:uiPriority w:val="99"/>
    <w:semiHidden/>
    <w:unhideWhenUsed/>
    <w:rsid w:val="0096405C"/>
    <w:rPr>
      <w:vertAlign w:val="superscript"/>
    </w:rPr>
  </w:style>
  <w:style w:type="paragraph" w:styleId="EndnoteText">
    <w:name w:val="endnote text"/>
    <w:basedOn w:val="Normal"/>
    <w:link w:val="EndnoteTextChar"/>
    <w:uiPriority w:val="99"/>
    <w:unhideWhenUsed/>
    <w:rsid w:val="00EC0E1B"/>
    <w:rPr>
      <w:sz w:val="20"/>
      <w:szCs w:val="20"/>
    </w:rPr>
  </w:style>
  <w:style w:type="character" w:customStyle="1" w:styleId="EndnoteTextChar">
    <w:name w:val="Endnote Text Char"/>
    <w:link w:val="EndnoteText"/>
    <w:uiPriority w:val="99"/>
    <w:rsid w:val="00EC0E1B"/>
    <w:rPr>
      <w:rFonts w:ascii="Times New Roman" w:hAnsi="Times New Roman"/>
    </w:rPr>
  </w:style>
  <w:style w:type="character" w:styleId="FootnoteReference">
    <w:name w:val="footnote reference"/>
    <w:uiPriority w:val="99"/>
    <w:semiHidden/>
    <w:unhideWhenUsed/>
    <w:rsid w:val="006760AA"/>
    <w:rPr>
      <w:vertAlign w:val="superscript"/>
    </w:rPr>
  </w:style>
  <w:style w:type="character" w:styleId="CommentReference">
    <w:name w:val="annotation reference"/>
    <w:uiPriority w:val="99"/>
    <w:semiHidden/>
    <w:unhideWhenUsed/>
    <w:rsid w:val="00EF2690"/>
    <w:rPr>
      <w:sz w:val="16"/>
      <w:szCs w:val="16"/>
    </w:rPr>
  </w:style>
  <w:style w:type="paragraph" w:styleId="CommentText">
    <w:name w:val="annotation text"/>
    <w:basedOn w:val="Normal"/>
    <w:link w:val="CommentTextChar"/>
    <w:uiPriority w:val="99"/>
    <w:semiHidden/>
    <w:unhideWhenUsed/>
    <w:rsid w:val="00EF2690"/>
    <w:rPr>
      <w:sz w:val="20"/>
      <w:szCs w:val="20"/>
    </w:rPr>
  </w:style>
  <w:style w:type="character" w:customStyle="1" w:styleId="CommentTextChar">
    <w:name w:val="Comment Text Char"/>
    <w:link w:val="CommentText"/>
    <w:uiPriority w:val="99"/>
    <w:semiHidden/>
    <w:rsid w:val="00EF2690"/>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EF2690"/>
    <w:rPr>
      <w:b/>
      <w:bCs/>
    </w:rPr>
  </w:style>
  <w:style w:type="character" w:customStyle="1" w:styleId="CommentSubjectChar">
    <w:name w:val="Comment Subject Char"/>
    <w:link w:val="CommentSubject"/>
    <w:uiPriority w:val="99"/>
    <w:semiHidden/>
    <w:rsid w:val="00EF2690"/>
    <w:rPr>
      <w:rFonts w:ascii="Times New Roman" w:hAnsi="Times New Roman" w:cs="Times New Roman"/>
      <w:b/>
      <w:bCs/>
    </w:rPr>
  </w:style>
  <w:style w:type="character" w:styleId="FollowedHyperlink">
    <w:name w:val="FollowedHyperlink"/>
    <w:uiPriority w:val="99"/>
    <w:semiHidden/>
    <w:unhideWhenUsed/>
    <w:rsid w:val="00752936"/>
    <w:rPr>
      <w:color w:val="800080"/>
      <w:u w:val="single"/>
    </w:rPr>
  </w:style>
  <w:style w:type="paragraph" w:styleId="Title">
    <w:name w:val="Title"/>
    <w:basedOn w:val="Normal"/>
    <w:link w:val="TitleChar"/>
    <w:uiPriority w:val="10"/>
    <w:qFormat/>
    <w:rsid w:val="00111C46"/>
    <w:pPr>
      <w:spacing w:after="0" w:afterAutospacing="0"/>
      <w:jc w:val="center"/>
    </w:pPr>
    <w:rPr>
      <w:b/>
      <w:bCs/>
      <w:spacing w:val="-3"/>
      <w:szCs w:val="24"/>
    </w:rPr>
  </w:style>
  <w:style w:type="character" w:customStyle="1" w:styleId="TitleChar">
    <w:name w:val="Title Char"/>
    <w:link w:val="Title"/>
    <w:uiPriority w:val="10"/>
    <w:rsid w:val="00111C46"/>
    <w:rPr>
      <w:rFonts w:ascii="Times New Roman" w:hAnsi="Times New Roman" w:cs="Times New Roman"/>
      <w:b/>
      <w:bCs/>
      <w:spacing w:val="-3"/>
      <w:sz w:val="24"/>
      <w:szCs w:val="24"/>
    </w:rPr>
  </w:style>
  <w:style w:type="paragraph" w:styleId="BlockText">
    <w:name w:val="Block Text"/>
    <w:basedOn w:val="Normal"/>
    <w:uiPriority w:val="99"/>
    <w:semiHidden/>
    <w:unhideWhenUsed/>
    <w:rsid w:val="00111C46"/>
    <w:pPr>
      <w:spacing w:after="0" w:afterAutospacing="0"/>
      <w:ind w:left="720" w:right="720"/>
      <w:jc w:val="both"/>
    </w:pPr>
    <w:rPr>
      <w:szCs w:val="24"/>
    </w:rPr>
  </w:style>
  <w:style w:type="character" w:customStyle="1" w:styleId="titleseparator5">
    <w:name w:val="titleseparator5"/>
    <w:rsid w:val="004619C3"/>
    <w:rPr>
      <w:vanish/>
      <w:webHidden w:val="0"/>
      <w:specVanish w:val="0"/>
    </w:rPr>
  </w:style>
  <w:style w:type="character" w:customStyle="1" w:styleId="subtitlebreak1">
    <w:name w:val="subtitlebreak1"/>
    <w:rsid w:val="004619C3"/>
    <w:rPr>
      <w:vanish w:val="0"/>
      <w:webHidden w:val="0"/>
      <w:specVanish w:val="0"/>
    </w:rPr>
  </w:style>
  <w:style w:type="character" w:customStyle="1" w:styleId="subtitle7">
    <w:name w:val="subtitle7"/>
    <w:rsid w:val="004619C3"/>
    <w:rPr>
      <w:vanish w:val="0"/>
      <w:webHidden w:val="0"/>
      <w:sz w:val="23"/>
      <w:szCs w:val="23"/>
      <w:specVanish w:val="0"/>
    </w:rPr>
  </w:style>
  <w:style w:type="paragraph" w:customStyle="1" w:styleId="para2">
    <w:name w:val="para2"/>
    <w:basedOn w:val="Normal"/>
    <w:rsid w:val="004619C3"/>
    <w:pPr>
      <w:spacing w:after="115" w:afterAutospacing="0"/>
    </w:pPr>
    <w:rPr>
      <w:rFonts w:ascii="Georgia" w:eastAsia="Times New Roman" w:hAnsi="Georgia"/>
      <w:szCs w:val="24"/>
    </w:rPr>
  </w:style>
  <w:style w:type="character" w:styleId="HTMLCite">
    <w:name w:val="HTML Cite"/>
    <w:uiPriority w:val="99"/>
    <w:unhideWhenUsed/>
    <w:rsid w:val="004619C3"/>
    <w:rPr>
      <w:i w:val="0"/>
      <w:iCs w:val="0"/>
      <w:color w:val="388222"/>
    </w:rPr>
  </w:style>
  <w:style w:type="table" w:styleId="TableGrid">
    <w:name w:val="Table Grid"/>
    <w:basedOn w:val="TableNormal"/>
    <w:rsid w:val="00B6469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last-page2">
    <w:name w:val="cit-last-page2"/>
    <w:basedOn w:val="DefaultParagraphFont"/>
    <w:rsid w:val="00FC4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84">
      <w:bodyDiv w:val="1"/>
      <w:marLeft w:val="0"/>
      <w:marRight w:val="0"/>
      <w:marTop w:val="0"/>
      <w:marBottom w:val="0"/>
      <w:divBdr>
        <w:top w:val="none" w:sz="0" w:space="0" w:color="auto"/>
        <w:left w:val="none" w:sz="0" w:space="0" w:color="auto"/>
        <w:bottom w:val="none" w:sz="0" w:space="0" w:color="auto"/>
        <w:right w:val="none" w:sz="0" w:space="0" w:color="auto"/>
      </w:divBdr>
      <w:divsChild>
        <w:div w:id="1653635801">
          <w:marLeft w:val="0"/>
          <w:marRight w:val="0"/>
          <w:marTop w:val="60"/>
          <w:marBottom w:val="105"/>
          <w:divBdr>
            <w:top w:val="none" w:sz="0" w:space="0" w:color="auto"/>
            <w:left w:val="none" w:sz="0" w:space="0" w:color="auto"/>
            <w:bottom w:val="none" w:sz="0" w:space="0" w:color="auto"/>
            <w:right w:val="none" w:sz="0" w:space="0" w:color="auto"/>
          </w:divBdr>
          <w:divsChild>
            <w:div w:id="1700353713">
              <w:marLeft w:val="0"/>
              <w:marRight w:val="0"/>
              <w:marTop w:val="0"/>
              <w:marBottom w:val="0"/>
              <w:divBdr>
                <w:top w:val="none" w:sz="0" w:space="0" w:color="auto"/>
                <w:left w:val="none" w:sz="0" w:space="0" w:color="auto"/>
                <w:bottom w:val="none" w:sz="0" w:space="0" w:color="auto"/>
                <w:right w:val="none" w:sz="0" w:space="0" w:color="auto"/>
              </w:divBdr>
              <w:divsChild>
                <w:div w:id="902909039">
                  <w:marLeft w:val="0"/>
                  <w:marRight w:val="0"/>
                  <w:marTop w:val="0"/>
                  <w:marBottom w:val="0"/>
                  <w:divBdr>
                    <w:top w:val="none" w:sz="0" w:space="0" w:color="auto"/>
                    <w:left w:val="none" w:sz="0" w:space="0" w:color="auto"/>
                    <w:bottom w:val="none" w:sz="0" w:space="0" w:color="auto"/>
                    <w:right w:val="none" w:sz="0" w:space="0" w:color="auto"/>
                  </w:divBdr>
                  <w:divsChild>
                    <w:div w:id="1613903016">
                      <w:marLeft w:val="0"/>
                      <w:marRight w:val="0"/>
                      <w:marTop w:val="0"/>
                      <w:marBottom w:val="0"/>
                      <w:divBdr>
                        <w:top w:val="none" w:sz="0" w:space="0" w:color="auto"/>
                        <w:left w:val="none" w:sz="0" w:space="0" w:color="auto"/>
                        <w:bottom w:val="none" w:sz="0" w:space="0" w:color="auto"/>
                        <w:right w:val="none" w:sz="0" w:space="0" w:color="auto"/>
                      </w:divBdr>
                      <w:divsChild>
                        <w:div w:id="15051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7651">
      <w:bodyDiv w:val="1"/>
      <w:marLeft w:val="0"/>
      <w:marRight w:val="0"/>
      <w:marTop w:val="0"/>
      <w:marBottom w:val="0"/>
      <w:divBdr>
        <w:top w:val="none" w:sz="0" w:space="0" w:color="auto"/>
        <w:left w:val="none" w:sz="0" w:space="0" w:color="auto"/>
        <w:bottom w:val="none" w:sz="0" w:space="0" w:color="auto"/>
        <w:right w:val="none" w:sz="0" w:space="0" w:color="auto"/>
      </w:divBdr>
      <w:divsChild>
        <w:div w:id="213584943">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40710644">
      <w:bodyDiv w:val="1"/>
      <w:marLeft w:val="0"/>
      <w:marRight w:val="0"/>
      <w:marTop w:val="0"/>
      <w:marBottom w:val="0"/>
      <w:divBdr>
        <w:top w:val="none" w:sz="0" w:space="0" w:color="auto"/>
        <w:left w:val="none" w:sz="0" w:space="0" w:color="auto"/>
        <w:bottom w:val="none" w:sz="0" w:space="0" w:color="auto"/>
        <w:right w:val="none" w:sz="0" w:space="0" w:color="auto"/>
      </w:divBdr>
      <w:divsChild>
        <w:div w:id="1145312918">
          <w:marLeft w:val="3450"/>
          <w:marRight w:val="150"/>
          <w:marTop w:val="0"/>
          <w:marBottom w:val="0"/>
          <w:divBdr>
            <w:top w:val="none" w:sz="0" w:space="0" w:color="auto"/>
            <w:left w:val="none" w:sz="0" w:space="0" w:color="auto"/>
            <w:bottom w:val="none" w:sz="0" w:space="0" w:color="auto"/>
            <w:right w:val="none" w:sz="0" w:space="0" w:color="auto"/>
          </w:divBdr>
          <w:divsChild>
            <w:div w:id="90475366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45685087">
      <w:bodyDiv w:val="1"/>
      <w:marLeft w:val="0"/>
      <w:marRight w:val="0"/>
      <w:marTop w:val="0"/>
      <w:marBottom w:val="0"/>
      <w:divBdr>
        <w:top w:val="none" w:sz="0" w:space="0" w:color="auto"/>
        <w:left w:val="none" w:sz="0" w:space="0" w:color="auto"/>
        <w:bottom w:val="none" w:sz="0" w:space="0" w:color="auto"/>
        <w:right w:val="none" w:sz="0" w:space="0" w:color="auto"/>
      </w:divBdr>
      <w:divsChild>
        <w:div w:id="572545123">
          <w:marLeft w:val="3450"/>
          <w:marRight w:val="150"/>
          <w:marTop w:val="0"/>
          <w:marBottom w:val="0"/>
          <w:divBdr>
            <w:top w:val="none" w:sz="0" w:space="0" w:color="auto"/>
            <w:left w:val="none" w:sz="0" w:space="0" w:color="auto"/>
            <w:bottom w:val="none" w:sz="0" w:space="0" w:color="auto"/>
            <w:right w:val="none" w:sz="0" w:space="0" w:color="auto"/>
          </w:divBdr>
          <w:divsChild>
            <w:div w:id="211485809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56245874">
      <w:bodyDiv w:val="1"/>
      <w:marLeft w:val="0"/>
      <w:marRight w:val="0"/>
      <w:marTop w:val="0"/>
      <w:marBottom w:val="0"/>
      <w:divBdr>
        <w:top w:val="none" w:sz="0" w:space="0" w:color="auto"/>
        <w:left w:val="none" w:sz="0" w:space="0" w:color="auto"/>
        <w:bottom w:val="none" w:sz="0" w:space="0" w:color="auto"/>
        <w:right w:val="none" w:sz="0" w:space="0" w:color="auto"/>
      </w:divBdr>
      <w:divsChild>
        <w:div w:id="912009733">
          <w:marLeft w:val="0"/>
          <w:marRight w:val="0"/>
          <w:marTop w:val="180"/>
          <w:marBottom w:val="0"/>
          <w:divBdr>
            <w:top w:val="none" w:sz="0" w:space="0" w:color="auto"/>
            <w:left w:val="none" w:sz="0" w:space="0" w:color="auto"/>
            <w:bottom w:val="none" w:sz="0" w:space="0" w:color="auto"/>
            <w:right w:val="none" w:sz="0" w:space="0" w:color="auto"/>
          </w:divBdr>
          <w:divsChild>
            <w:div w:id="738023201">
              <w:marLeft w:val="0"/>
              <w:marRight w:val="0"/>
              <w:marTop w:val="0"/>
              <w:marBottom w:val="0"/>
              <w:divBdr>
                <w:top w:val="none" w:sz="0" w:space="0" w:color="auto"/>
                <w:left w:val="none" w:sz="0" w:space="0" w:color="auto"/>
                <w:bottom w:val="none" w:sz="0" w:space="0" w:color="auto"/>
                <w:right w:val="none" w:sz="0" w:space="0" w:color="auto"/>
              </w:divBdr>
              <w:divsChild>
                <w:div w:id="531386448">
                  <w:marLeft w:val="1410"/>
                  <w:marRight w:val="0"/>
                  <w:marTop w:val="0"/>
                  <w:marBottom w:val="0"/>
                  <w:divBdr>
                    <w:top w:val="none" w:sz="0" w:space="0" w:color="auto"/>
                    <w:left w:val="none" w:sz="0" w:space="0" w:color="auto"/>
                    <w:bottom w:val="none" w:sz="0" w:space="0" w:color="auto"/>
                    <w:right w:val="none" w:sz="0" w:space="0" w:color="auto"/>
                  </w:divBdr>
                  <w:divsChild>
                    <w:div w:id="1712652561">
                      <w:marLeft w:val="0"/>
                      <w:marRight w:val="0"/>
                      <w:marTop w:val="0"/>
                      <w:marBottom w:val="0"/>
                      <w:divBdr>
                        <w:top w:val="none" w:sz="0" w:space="0" w:color="auto"/>
                        <w:left w:val="none" w:sz="0" w:space="0" w:color="auto"/>
                        <w:bottom w:val="none" w:sz="0" w:space="0" w:color="auto"/>
                        <w:right w:val="none" w:sz="0" w:space="0" w:color="auto"/>
                      </w:divBdr>
                    </w:div>
                    <w:div w:id="1827013479">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78384">
      <w:bodyDiv w:val="1"/>
      <w:marLeft w:val="0"/>
      <w:marRight w:val="0"/>
      <w:marTop w:val="0"/>
      <w:marBottom w:val="0"/>
      <w:divBdr>
        <w:top w:val="none" w:sz="0" w:space="0" w:color="auto"/>
        <w:left w:val="none" w:sz="0" w:space="0" w:color="auto"/>
        <w:bottom w:val="none" w:sz="0" w:space="0" w:color="auto"/>
        <w:right w:val="none" w:sz="0" w:space="0" w:color="auto"/>
      </w:divBdr>
      <w:divsChild>
        <w:div w:id="1450591394">
          <w:marLeft w:val="3450"/>
          <w:marRight w:val="150"/>
          <w:marTop w:val="0"/>
          <w:marBottom w:val="0"/>
          <w:divBdr>
            <w:top w:val="none" w:sz="0" w:space="0" w:color="auto"/>
            <w:left w:val="none" w:sz="0" w:space="0" w:color="auto"/>
            <w:bottom w:val="none" w:sz="0" w:space="0" w:color="auto"/>
            <w:right w:val="none" w:sz="0" w:space="0" w:color="auto"/>
          </w:divBdr>
          <w:divsChild>
            <w:div w:id="85500084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97142753">
      <w:bodyDiv w:val="1"/>
      <w:marLeft w:val="0"/>
      <w:marRight w:val="0"/>
      <w:marTop w:val="0"/>
      <w:marBottom w:val="0"/>
      <w:divBdr>
        <w:top w:val="none" w:sz="0" w:space="0" w:color="auto"/>
        <w:left w:val="none" w:sz="0" w:space="0" w:color="auto"/>
        <w:bottom w:val="none" w:sz="0" w:space="0" w:color="auto"/>
        <w:right w:val="none" w:sz="0" w:space="0" w:color="auto"/>
      </w:divBdr>
    </w:div>
    <w:div w:id="114718040">
      <w:bodyDiv w:val="1"/>
      <w:marLeft w:val="0"/>
      <w:marRight w:val="0"/>
      <w:marTop w:val="0"/>
      <w:marBottom w:val="0"/>
      <w:divBdr>
        <w:top w:val="none" w:sz="0" w:space="0" w:color="auto"/>
        <w:left w:val="none" w:sz="0" w:space="0" w:color="auto"/>
        <w:bottom w:val="none" w:sz="0" w:space="0" w:color="auto"/>
        <w:right w:val="none" w:sz="0" w:space="0" w:color="auto"/>
      </w:divBdr>
      <w:divsChild>
        <w:div w:id="1773739170">
          <w:marLeft w:val="0"/>
          <w:marRight w:val="0"/>
          <w:marTop w:val="60"/>
          <w:marBottom w:val="105"/>
          <w:divBdr>
            <w:top w:val="none" w:sz="0" w:space="0" w:color="auto"/>
            <w:left w:val="none" w:sz="0" w:space="0" w:color="auto"/>
            <w:bottom w:val="none" w:sz="0" w:space="0" w:color="auto"/>
            <w:right w:val="none" w:sz="0" w:space="0" w:color="auto"/>
          </w:divBdr>
          <w:divsChild>
            <w:div w:id="876821958">
              <w:marLeft w:val="0"/>
              <w:marRight w:val="0"/>
              <w:marTop w:val="0"/>
              <w:marBottom w:val="0"/>
              <w:divBdr>
                <w:top w:val="none" w:sz="0" w:space="0" w:color="auto"/>
                <w:left w:val="none" w:sz="0" w:space="0" w:color="auto"/>
                <w:bottom w:val="none" w:sz="0" w:space="0" w:color="auto"/>
                <w:right w:val="none" w:sz="0" w:space="0" w:color="auto"/>
              </w:divBdr>
              <w:divsChild>
                <w:div w:id="1318071671">
                  <w:marLeft w:val="0"/>
                  <w:marRight w:val="0"/>
                  <w:marTop w:val="0"/>
                  <w:marBottom w:val="0"/>
                  <w:divBdr>
                    <w:top w:val="none" w:sz="0" w:space="0" w:color="auto"/>
                    <w:left w:val="none" w:sz="0" w:space="0" w:color="auto"/>
                    <w:bottom w:val="none" w:sz="0" w:space="0" w:color="auto"/>
                    <w:right w:val="none" w:sz="0" w:space="0" w:color="auto"/>
                  </w:divBdr>
                  <w:divsChild>
                    <w:div w:id="856425761">
                      <w:marLeft w:val="0"/>
                      <w:marRight w:val="0"/>
                      <w:marTop w:val="0"/>
                      <w:marBottom w:val="0"/>
                      <w:divBdr>
                        <w:top w:val="none" w:sz="0" w:space="0" w:color="auto"/>
                        <w:left w:val="none" w:sz="0" w:space="0" w:color="auto"/>
                        <w:bottom w:val="none" w:sz="0" w:space="0" w:color="auto"/>
                        <w:right w:val="none" w:sz="0" w:space="0" w:color="auto"/>
                      </w:divBdr>
                      <w:divsChild>
                        <w:div w:id="4239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9138">
      <w:bodyDiv w:val="1"/>
      <w:marLeft w:val="0"/>
      <w:marRight w:val="0"/>
      <w:marTop w:val="0"/>
      <w:marBottom w:val="0"/>
      <w:divBdr>
        <w:top w:val="none" w:sz="0" w:space="0" w:color="auto"/>
        <w:left w:val="none" w:sz="0" w:space="0" w:color="auto"/>
        <w:bottom w:val="none" w:sz="0" w:space="0" w:color="auto"/>
        <w:right w:val="none" w:sz="0" w:space="0" w:color="auto"/>
      </w:divBdr>
      <w:divsChild>
        <w:div w:id="1874148376">
          <w:marLeft w:val="0"/>
          <w:marRight w:val="0"/>
          <w:marTop w:val="60"/>
          <w:marBottom w:val="105"/>
          <w:divBdr>
            <w:top w:val="none" w:sz="0" w:space="0" w:color="auto"/>
            <w:left w:val="none" w:sz="0" w:space="0" w:color="auto"/>
            <w:bottom w:val="none" w:sz="0" w:space="0" w:color="auto"/>
            <w:right w:val="none" w:sz="0" w:space="0" w:color="auto"/>
          </w:divBdr>
          <w:divsChild>
            <w:div w:id="889074301">
              <w:marLeft w:val="0"/>
              <w:marRight w:val="0"/>
              <w:marTop w:val="0"/>
              <w:marBottom w:val="0"/>
              <w:divBdr>
                <w:top w:val="none" w:sz="0" w:space="0" w:color="auto"/>
                <w:left w:val="none" w:sz="0" w:space="0" w:color="auto"/>
                <w:bottom w:val="none" w:sz="0" w:space="0" w:color="auto"/>
                <w:right w:val="none" w:sz="0" w:space="0" w:color="auto"/>
              </w:divBdr>
              <w:divsChild>
                <w:div w:id="1777871606">
                  <w:marLeft w:val="0"/>
                  <w:marRight w:val="0"/>
                  <w:marTop w:val="0"/>
                  <w:marBottom w:val="0"/>
                  <w:divBdr>
                    <w:top w:val="none" w:sz="0" w:space="0" w:color="auto"/>
                    <w:left w:val="none" w:sz="0" w:space="0" w:color="auto"/>
                    <w:bottom w:val="none" w:sz="0" w:space="0" w:color="auto"/>
                    <w:right w:val="none" w:sz="0" w:space="0" w:color="auto"/>
                  </w:divBdr>
                  <w:divsChild>
                    <w:div w:id="36324983">
                      <w:marLeft w:val="0"/>
                      <w:marRight w:val="0"/>
                      <w:marTop w:val="0"/>
                      <w:marBottom w:val="0"/>
                      <w:divBdr>
                        <w:top w:val="none" w:sz="0" w:space="0" w:color="auto"/>
                        <w:left w:val="none" w:sz="0" w:space="0" w:color="auto"/>
                        <w:bottom w:val="none" w:sz="0" w:space="0" w:color="auto"/>
                        <w:right w:val="none" w:sz="0" w:space="0" w:color="auto"/>
                      </w:divBdr>
                      <w:divsChild>
                        <w:div w:id="18415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74804">
      <w:bodyDiv w:val="1"/>
      <w:marLeft w:val="0"/>
      <w:marRight w:val="0"/>
      <w:marTop w:val="0"/>
      <w:marBottom w:val="0"/>
      <w:divBdr>
        <w:top w:val="none" w:sz="0" w:space="0" w:color="auto"/>
        <w:left w:val="none" w:sz="0" w:space="0" w:color="auto"/>
        <w:bottom w:val="none" w:sz="0" w:space="0" w:color="auto"/>
        <w:right w:val="none" w:sz="0" w:space="0" w:color="auto"/>
      </w:divBdr>
      <w:divsChild>
        <w:div w:id="1808353312">
          <w:marLeft w:val="3450"/>
          <w:marRight w:val="150"/>
          <w:marTop w:val="0"/>
          <w:marBottom w:val="0"/>
          <w:divBdr>
            <w:top w:val="none" w:sz="0" w:space="0" w:color="auto"/>
            <w:left w:val="none" w:sz="0" w:space="0" w:color="auto"/>
            <w:bottom w:val="none" w:sz="0" w:space="0" w:color="auto"/>
            <w:right w:val="none" w:sz="0" w:space="0" w:color="auto"/>
          </w:divBdr>
          <w:divsChild>
            <w:div w:id="13372033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146484">
      <w:bodyDiv w:val="1"/>
      <w:marLeft w:val="0"/>
      <w:marRight w:val="0"/>
      <w:marTop w:val="0"/>
      <w:marBottom w:val="0"/>
      <w:divBdr>
        <w:top w:val="none" w:sz="0" w:space="0" w:color="auto"/>
        <w:left w:val="none" w:sz="0" w:space="0" w:color="auto"/>
        <w:bottom w:val="none" w:sz="0" w:space="0" w:color="auto"/>
        <w:right w:val="none" w:sz="0" w:space="0" w:color="auto"/>
      </w:divBdr>
      <w:divsChild>
        <w:div w:id="2080252941">
          <w:marLeft w:val="0"/>
          <w:marRight w:val="0"/>
          <w:marTop w:val="180"/>
          <w:marBottom w:val="0"/>
          <w:divBdr>
            <w:top w:val="none" w:sz="0" w:space="0" w:color="auto"/>
            <w:left w:val="none" w:sz="0" w:space="0" w:color="auto"/>
            <w:bottom w:val="none" w:sz="0" w:space="0" w:color="auto"/>
            <w:right w:val="none" w:sz="0" w:space="0" w:color="auto"/>
          </w:divBdr>
          <w:divsChild>
            <w:div w:id="1915240776">
              <w:marLeft w:val="0"/>
              <w:marRight w:val="0"/>
              <w:marTop w:val="0"/>
              <w:marBottom w:val="0"/>
              <w:divBdr>
                <w:top w:val="none" w:sz="0" w:space="0" w:color="auto"/>
                <w:left w:val="none" w:sz="0" w:space="0" w:color="auto"/>
                <w:bottom w:val="none" w:sz="0" w:space="0" w:color="auto"/>
                <w:right w:val="none" w:sz="0" w:space="0" w:color="auto"/>
              </w:divBdr>
              <w:divsChild>
                <w:div w:id="800347218">
                  <w:marLeft w:val="360"/>
                  <w:marRight w:val="0"/>
                  <w:marTop w:val="0"/>
                  <w:marBottom w:val="0"/>
                  <w:divBdr>
                    <w:top w:val="none" w:sz="0" w:space="0" w:color="auto"/>
                    <w:left w:val="none" w:sz="0" w:space="0" w:color="auto"/>
                    <w:bottom w:val="none" w:sz="0" w:space="0" w:color="auto"/>
                    <w:right w:val="none" w:sz="0" w:space="0" w:color="auto"/>
                  </w:divBdr>
                  <w:divsChild>
                    <w:div w:id="60951094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8821">
      <w:bodyDiv w:val="1"/>
      <w:marLeft w:val="0"/>
      <w:marRight w:val="0"/>
      <w:marTop w:val="0"/>
      <w:marBottom w:val="0"/>
      <w:divBdr>
        <w:top w:val="none" w:sz="0" w:space="0" w:color="auto"/>
        <w:left w:val="none" w:sz="0" w:space="0" w:color="auto"/>
        <w:bottom w:val="none" w:sz="0" w:space="0" w:color="auto"/>
        <w:right w:val="none" w:sz="0" w:space="0" w:color="auto"/>
      </w:divBdr>
      <w:divsChild>
        <w:div w:id="2118790754">
          <w:marLeft w:val="3450"/>
          <w:marRight w:val="150"/>
          <w:marTop w:val="0"/>
          <w:marBottom w:val="0"/>
          <w:divBdr>
            <w:top w:val="none" w:sz="0" w:space="0" w:color="auto"/>
            <w:left w:val="none" w:sz="0" w:space="0" w:color="auto"/>
            <w:bottom w:val="none" w:sz="0" w:space="0" w:color="auto"/>
            <w:right w:val="none" w:sz="0" w:space="0" w:color="auto"/>
          </w:divBdr>
          <w:divsChild>
            <w:div w:id="93390169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0894933">
      <w:bodyDiv w:val="1"/>
      <w:marLeft w:val="0"/>
      <w:marRight w:val="0"/>
      <w:marTop w:val="100"/>
      <w:marBottom w:val="100"/>
      <w:divBdr>
        <w:top w:val="none" w:sz="0" w:space="0" w:color="auto"/>
        <w:left w:val="none" w:sz="0" w:space="0" w:color="auto"/>
        <w:bottom w:val="none" w:sz="0" w:space="0" w:color="auto"/>
        <w:right w:val="none" w:sz="0" w:space="0" w:color="auto"/>
      </w:divBdr>
      <w:divsChild>
        <w:div w:id="1709523502">
          <w:marLeft w:val="0"/>
          <w:marRight w:val="0"/>
          <w:marTop w:val="0"/>
          <w:marBottom w:val="0"/>
          <w:divBdr>
            <w:top w:val="none" w:sz="0" w:space="0" w:color="auto"/>
            <w:left w:val="none" w:sz="0" w:space="0" w:color="auto"/>
            <w:bottom w:val="single" w:sz="6" w:space="0" w:color="AFC4BF"/>
            <w:right w:val="none" w:sz="0" w:space="0" w:color="auto"/>
          </w:divBdr>
        </w:div>
      </w:divsChild>
    </w:div>
    <w:div w:id="172377131">
      <w:bodyDiv w:val="1"/>
      <w:marLeft w:val="0"/>
      <w:marRight w:val="0"/>
      <w:marTop w:val="0"/>
      <w:marBottom w:val="0"/>
      <w:divBdr>
        <w:top w:val="none" w:sz="0" w:space="0" w:color="auto"/>
        <w:left w:val="none" w:sz="0" w:space="0" w:color="auto"/>
        <w:bottom w:val="none" w:sz="0" w:space="0" w:color="auto"/>
        <w:right w:val="none" w:sz="0" w:space="0" w:color="auto"/>
      </w:divBdr>
      <w:divsChild>
        <w:div w:id="891578876">
          <w:marLeft w:val="0"/>
          <w:marRight w:val="0"/>
          <w:marTop w:val="180"/>
          <w:marBottom w:val="0"/>
          <w:divBdr>
            <w:top w:val="none" w:sz="0" w:space="0" w:color="auto"/>
            <w:left w:val="none" w:sz="0" w:space="0" w:color="auto"/>
            <w:bottom w:val="none" w:sz="0" w:space="0" w:color="auto"/>
            <w:right w:val="none" w:sz="0" w:space="0" w:color="auto"/>
          </w:divBdr>
          <w:divsChild>
            <w:div w:id="1496650408">
              <w:marLeft w:val="0"/>
              <w:marRight w:val="0"/>
              <w:marTop w:val="0"/>
              <w:marBottom w:val="0"/>
              <w:divBdr>
                <w:top w:val="none" w:sz="0" w:space="0" w:color="auto"/>
                <w:left w:val="none" w:sz="0" w:space="0" w:color="auto"/>
                <w:bottom w:val="none" w:sz="0" w:space="0" w:color="auto"/>
                <w:right w:val="none" w:sz="0" w:space="0" w:color="auto"/>
              </w:divBdr>
              <w:divsChild>
                <w:div w:id="1276135344">
                  <w:marLeft w:val="1410"/>
                  <w:marRight w:val="0"/>
                  <w:marTop w:val="0"/>
                  <w:marBottom w:val="0"/>
                  <w:divBdr>
                    <w:top w:val="none" w:sz="0" w:space="0" w:color="auto"/>
                    <w:left w:val="none" w:sz="0" w:space="0" w:color="auto"/>
                    <w:bottom w:val="none" w:sz="0" w:space="0" w:color="auto"/>
                    <w:right w:val="none" w:sz="0" w:space="0" w:color="auto"/>
                  </w:divBdr>
                  <w:divsChild>
                    <w:div w:id="13922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0090">
      <w:bodyDiv w:val="1"/>
      <w:marLeft w:val="0"/>
      <w:marRight w:val="0"/>
      <w:marTop w:val="0"/>
      <w:marBottom w:val="0"/>
      <w:divBdr>
        <w:top w:val="none" w:sz="0" w:space="0" w:color="auto"/>
        <w:left w:val="none" w:sz="0" w:space="0" w:color="auto"/>
        <w:bottom w:val="none" w:sz="0" w:space="0" w:color="auto"/>
        <w:right w:val="none" w:sz="0" w:space="0" w:color="auto"/>
      </w:divBdr>
      <w:divsChild>
        <w:div w:id="2135250123">
          <w:marLeft w:val="0"/>
          <w:marRight w:val="0"/>
          <w:marTop w:val="0"/>
          <w:marBottom w:val="0"/>
          <w:divBdr>
            <w:top w:val="none" w:sz="0" w:space="0" w:color="auto"/>
            <w:left w:val="none" w:sz="0" w:space="0" w:color="auto"/>
            <w:bottom w:val="none" w:sz="0" w:space="0" w:color="auto"/>
            <w:right w:val="none" w:sz="0" w:space="0" w:color="auto"/>
          </w:divBdr>
          <w:divsChild>
            <w:div w:id="146629172">
              <w:marLeft w:val="0"/>
              <w:marRight w:val="0"/>
              <w:marTop w:val="0"/>
              <w:marBottom w:val="0"/>
              <w:divBdr>
                <w:top w:val="none" w:sz="0" w:space="0" w:color="auto"/>
                <w:left w:val="none" w:sz="0" w:space="0" w:color="auto"/>
                <w:bottom w:val="none" w:sz="0" w:space="0" w:color="auto"/>
                <w:right w:val="none" w:sz="0" w:space="0" w:color="auto"/>
              </w:divBdr>
              <w:divsChild>
                <w:div w:id="6669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9311">
      <w:bodyDiv w:val="1"/>
      <w:marLeft w:val="0"/>
      <w:marRight w:val="0"/>
      <w:marTop w:val="0"/>
      <w:marBottom w:val="0"/>
      <w:divBdr>
        <w:top w:val="none" w:sz="0" w:space="0" w:color="auto"/>
        <w:left w:val="none" w:sz="0" w:space="0" w:color="auto"/>
        <w:bottom w:val="none" w:sz="0" w:space="0" w:color="auto"/>
        <w:right w:val="none" w:sz="0" w:space="0" w:color="auto"/>
      </w:divBdr>
      <w:divsChild>
        <w:div w:id="752169467">
          <w:marLeft w:val="3450"/>
          <w:marRight w:val="150"/>
          <w:marTop w:val="0"/>
          <w:marBottom w:val="0"/>
          <w:divBdr>
            <w:top w:val="none" w:sz="0" w:space="0" w:color="auto"/>
            <w:left w:val="none" w:sz="0" w:space="0" w:color="auto"/>
            <w:bottom w:val="none" w:sz="0" w:space="0" w:color="auto"/>
            <w:right w:val="none" w:sz="0" w:space="0" w:color="auto"/>
          </w:divBdr>
          <w:divsChild>
            <w:div w:id="380148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92501304">
      <w:bodyDiv w:val="1"/>
      <w:marLeft w:val="0"/>
      <w:marRight w:val="0"/>
      <w:marTop w:val="0"/>
      <w:marBottom w:val="0"/>
      <w:divBdr>
        <w:top w:val="none" w:sz="0" w:space="0" w:color="auto"/>
        <w:left w:val="none" w:sz="0" w:space="0" w:color="auto"/>
        <w:bottom w:val="none" w:sz="0" w:space="0" w:color="auto"/>
        <w:right w:val="none" w:sz="0" w:space="0" w:color="auto"/>
      </w:divBdr>
      <w:divsChild>
        <w:div w:id="1627153549">
          <w:marLeft w:val="0"/>
          <w:marRight w:val="0"/>
          <w:marTop w:val="180"/>
          <w:marBottom w:val="0"/>
          <w:divBdr>
            <w:top w:val="none" w:sz="0" w:space="0" w:color="auto"/>
            <w:left w:val="none" w:sz="0" w:space="0" w:color="auto"/>
            <w:bottom w:val="none" w:sz="0" w:space="0" w:color="auto"/>
            <w:right w:val="none" w:sz="0" w:space="0" w:color="auto"/>
          </w:divBdr>
          <w:divsChild>
            <w:div w:id="2004702797">
              <w:marLeft w:val="0"/>
              <w:marRight w:val="0"/>
              <w:marTop w:val="0"/>
              <w:marBottom w:val="0"/>
              <w:divBdr>
                <w:top w:val="none" w:sz="0" w:space="0" w:color="auto"/>
                <w:left w:val="none" w:sz="0" w:space="0" w:color="auto"/>
                <w:bottom w:val="none" w:sz="0" w:space="0" w:color="auto"/>
                <w:right w:val="none" w:sz="0" w:space="0" w:color="auto"/>
              </w:divBdr>
              <w:divsChild>
                <w:div w:id="673414019">
                  <w:marLeft w:val="2100"/>
                  <w:marRight w:val="0"/>
                  <w:marTop w:val="0"/>
                  <w:marBottom w:val="0"/>
                  <w:divBdr>
                    <w:top w:val="none" w:sz="0" w:space="0" w:color="auto"/>
                    <w:left w:val="none" w:sz="0" w:space="0" w:color="auto"/>
                    <w:bottom w:val="none" w:sz="0" w:space="0" w:color="auto"/>
                    <w:right w:val="none" w:sz="0" w:space="0" w:color="auto"/>
                  </w:divBdr>
                  <w:divsChild>
                    <w:div w:id="5071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99548">
      <w:bodyDiv w:val="1"/>
      <w:marLeft w:val="0"/>
      <w:marRight w:val="0"/>
      <w:marTop w:val="0"/>
      <w:marBottom w:val="0"/>
      <w:divBdr>
        <w:top w:val="none" w:sz="0" w:space="0" w:color="auto"/>
        <w:left w:val="none" w:sz="0" w:space="0" w:color="auto"/>
        <w:bottom w:val="none" w:sz="0" w:space="0" w:color="auto"/>
        <w:right w:val="none" w:sz="0" w:space="0" w:color="auto"/>
      </w:divBdr>
      <w:divsChild>
        <w:div w:id="525560736">
          <w:marLeft w:val="0"/>
          <w:marRight w:val="0"/>
          <w:marTop w:val="60"/>
          <w:marBottom w:val="105"/>
          <w:divBdr>
            <w:top w:val="none" w:sz="0" w:space="0" w:color="auto"/>
            <w:left w:val="none" w:sz="0" w:space="0" w:color="auto"/>
            <w:bottom w:val="none" w:sz="0" w:space="0" w:color="auto"/>
            <w:right w:val="none" w:sz="0" w:space="0" w:color="auto"/>
          </w:divBdr>
          <w:divsChild>
            <w:div w:id="200213415">
              <w:marLeft w:val="0"/>
              <w:marRight w:val="0"/>
              <w:marTop w:val="0"/>
              <w:marBottom w:val="0"/>
              <w:divBdr>
                <w:top w:val="none" w:sz="0" w:space="0" w:color="auto"/>
                <w:left w:val="none" w:sz="0" w:space="0" w:color="auto"/>
                <w:bottom w:val="none" w:sz="0" w:space="0" w:color="auto"/>
                <w:right w:val="none" w:sz="0" w:space="0" w:color="auto"/>
              </w:divBdr>
              <w:divsChild>
                <w:div w:id="1097360344">
                  <w:marLeft w:val="0"/>
                  <w:marRight w:val="0"/>
                  <w:marTop w:val="0"/>
                  <w:marBottom w:val="0"/>
                  <w:divBdr>
                    <w:top w:val="none" w:sz="0" w:space="0" w:color="auto"/>
                    <w:left w:val="none" w:sz="0" w:space="0" w:color="auto"/>
                    <w:bottom w:val="none" w:sz="0" w:space="0" w:color="auto"/>
                    <w:right w:val="none" w:sz="0" w:space="0" w:color="auto"/>
                  </w:divBdr>
                  <w:divsChild>
                    <w:div w:id="1151023817">
                      <w:marLeft w:val="0"/>
                      <w:marRight w:val="0"/>
                      <w:marTop w:val="0"/>
                      <w:marBottom w:val="0"/>
                      <w:divBdr>
                        <w:top w:val="none" w:sz="0" w:space="0" w:color="auto"/>
                        <w:left w:val="none" w:sz="0" w:space="0" w:color="auto"/>
                        <w:bottom w:val="none" w:sz="0" w:space="0" w:color="auto"/>
                        <w:right w:val="none" w:sz="0" w:space="0" w:color="auto"/>
                      </w:divBdr>
                      <w:divsChild>
                        <w:div w:id="14114087">
                          <w:marLeft w:val="0"/>
                          <w:marRight w:val="0"/>
                          <w:marTop w:val="0"/>
                          <w:marBottom w:val="0"/>
                          <w:divBdr>
                            <w:top w:val="none" w:sz="0" w:space="0" w:color="auto"/>
                            <w:left w:val="none" w:sz="0" w:space="0" w:color="auto"/>
                            <w:bottom w:val="none" w:sz="0" w:space="0" w:color="auto"/>
                            <w:right w:val="none" w:sz="0" w:space="0" w:color="auto"/>
                          </w:divBdr>
                        </w:div>
                        <w:div w:id="1239821868">
                          <w:marLeft w:val="0"/>
                          <w:marRight w:val="0"/>
                          <w:marTop w:val="0"/>
                          <w:marBottom w:val="0"/>
                          <w:divBdr>
                            <w:top w:val="single" w:sz="48" w:space="0" w:color="FFFFFF"/>
                            <w:left w:val="single" w:sz="48" w:space="0" w:color="FFFFFF"/>
                            <w:bottom w:val="single" w:sz="48" w:space="0" w:color="FFFFFF"/>
                            <w:right w:val="single" w:sz="36" w:space="0" w:color="FFFFFF"/>
                          </w:divBdr>
                          <w:divsChild>
                            <w:div w:id="307711899">
                              <w:marLeft w:val="0"/>
                              <w:marRight w:val="0"/>
                              <w:marTop w:val="0"/>
                              <w:marBottom w:val="120"/>
                              <w:divBdr>
                                <w:top w:val="single" w:sz="18" w:space="0" w:color="E0E9FD"/>
                                <w:left w:val="single" w:sz="18" w:space="0" w:color="E0E9FD"/>
                                <w:bottom w:val="single" w:sz="18" w:space="0" w:color="E0E9FD"/>
                                <w:right w:val="single" w:sz="18" w:space="0" w:color="E0E9FD"/>
                              </w:divBdr>
                            </w:div>
                            <w:div w:id="399181676">
                              <w:marLeft w:val="0"/>
                              <w:marRight w:val="0"/>
                              <w:marTop w:val="0"/>
                              <w:marBottom w:val="0"/>
                              <w:divBdr>
                                <w:top w:val="none" w:sz="0" w:space="0" w:color="auto"/>
                                <w:left w:val="none" w:sz="0" w:space="0" w:color="auto"/>
                                <w:bottom w:val="none" w:sz="0" w:space="0" w:color="auto"/>
                                <w:right w:val="none" w:sz="0" w:space="0" w:color="auto"/>
                              </w:divBdr>
                              <w:divsChild>
                                <w:div w:id="1153907523">
                                  <w:marLeft w:val="0"/>
                                  <w:marRight w:val="0"/>
                                  <w:marTop w:val="0"/>
                                  <w:marBottom w:val="0"/>
                                  <w:divBdr>
                                    <w:top w:val="none" w:sz="0" w:space="0" w:color="auto"/>
                                    <w:left w:val="none" w:sz="0" w:space="0" w:color="auto"/>
                                    <w:bottom w:val="none" w:sz="0" w:space="0" w:color="auto"/>
                                    <w:right w:val="none" w:sz="0" w:space="0" w:color="auto"/>
                                  </w:divBdr>
                                  <w:divsChild>
                                    <w:div w:id="287124735">
                                      <w:marLeft w:val="0"/>
                                      <w:marRight w:val="0"/>
                                      <w:marTop w:val="0"/>
                                      <w:marBottom w:val="0"/>
                                      <w:divBdr>
                                        <w:top w:val="none" w:sz="0" w:space="0" w:color="auto"/>
                                        <w:left w:val="none" w:sz="0" w:space="0" w:color="auto"/>
                                        <w:bottom w:val="none" w:sz="0" w:space="0" w:color="auto"/>
                                        <w:right w:val="none" w:sz="0" w:space="0" w:color="auto"/>
                                      </w:divBdr>
                                    </w:div>
                                    <w:div w:id="1725331132">
                                      <w:marLeft w:val="0"/>
                                      <w:marRight w:val="0"/>
                                      <w:marTop w:val="0"/>
                                      <w:marBottom w:val="0"/>
                                      <w:divBdr>
                                        <w:top w:val="none" w:sz="0" w:space="0" w:color="auto"/>
                                        <w:left w:val="none" w:sz="0" w:space="0" w:color="auto"/>
                                        <w:bottom w:val="none" w:sz="0" w:space="0" w:color="auto"/>
                                        <w:right w:val="none" w:sz="0" w:space="0" w:color="auto"/>
                                      </w:divBdr>
                                      <w:divsChild>
                                        <w:div w:id="1179465804">
                                          <w:marLeft w:val="0"/>
                                          <w:marRight w:val="0"/>
                                          <w:marTop w:val="0"/>
                                          <w:marBottom w:val="0"/>
                                          <w:divBdr>
                                            <w:top w:val="none" w:sz="0" w:space="0" w:color="auto"/>
                                            <w:left w:val="none" w:sz="0" w:space="0" w:color="auto"/>
                                            <w:bottom w:val="none" w:sz="0" w:space="0" w:color="auto"/>
                                            <w:right w:val="none" w:sz="0" w:space="0" w:color="auto"/>
                                          </w:divBdr>
                                          <w:divsChild>
                                            <w:div w:id="13670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9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435098">
      <w:bodyDiv w:val="1"/>
      <w:marLeft w:val="0"/>
      <w:marRight w:val="0"/>
      <w:marTop w:val="0"/>
      <w:marBottom w:val="0"/>
      <w:divBdr>
        <w:top w:val="none" w:sz="0" w:space="0" w:color="auto"/>
        <w:left w:val="none" w:sz="0" w:space="0" w:color="auto"/>
        <w:bottom w:val="none" w:sz="0" w:space="0" w:color="auto"/>
        <w:right w:val="none" w:sz="0" w:space="0" w:color="auto"/>
      </w:divBdr>
      <w:divsChild>
        <w:div w:id="1002506638">
          <w:marLeft w:val="0"/>
          <w:marRight w:val="0"/>
          <w:marTop w:val="180"/>
          <w:marBottom w:val="0"/>
          <w:divBdr>
            <w:top w:val="none" w:sz="0" w:space="0" w:color="auto"/>
            <w:left w:val="none" w:sz="0" w:space="0" w:color="auto"/>
            <w:bottom w:val="none" w:sz="0" w:space="0" w:color="auto"/>
            <w:right w:val="none" w:sz="0" w:space="0" w:color="auto"/>
          </w:divBdr>
          <w:divsChild>
            <w:div w:id="1240481651">
              <w:marLeft w:val="0"/>
              <w:marRight w:val="0"/>
              <w:marTop w:val="0"/>
              <w:marBottom w:val="0"/>
              <w:divBdr>
                <w:top w:val="none" w:sz="0" w:space="0" w:color="auto"/>
                <w:left w:val="none" w:sz="0" w:space="0" w:color="auto"/>
                <w:bottom w:val="none" w:sz="0" w:space="0" w:color="auto"/>
                <w:right w:val="none" w:sz="0" w:space="0" w:color="auto"/>
              </w:divBdr>
              <w:divsChild>
                <w:div w:id="1823278019">
                  <w:marLeft w:val="2100"/>
                  <w:marRight w:val="0"/>
                  <w:marTop w:val="0"/>
                  <w:marBottom w:val="0"/>
                  <w:divBdr>
                    <w:top w:val="none" w:sz="0" w:space="0" w:color="auto"/>
                    <w:left w:val="none" w:sz="0" w:space="0" w:color="auto"/>
                    <w:bottom w:val="none" w:sz="0" w:space="0" w:color="auto"/>
                    <w:right w:val="none" w:sz="0" w:space="0" w:color="auto"/>
                  </w:divBdr>
                  <w:divsChild>
                    <w:div w:id="107416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638795">
      <w:bodyDiv w:val="1"/>
      <w:marLeft w:val="0"/>
      <w:marRight w:val="0"/>
      <w:marTop w:val="0"/>
      <w:marBottom w:val="0"/>
      <w:divBdr>
        <w:top w:val="none" w:sz="0" w:space="0" w:color="auto"/>
        <w:left w:val="none" w:sz="0" w:space="0" w:color="auto"/>
        <w:bottom w:val="none" w:sz="0" w:space="0" w:color="auto"/>
        <w:right w:val="none" w:sz="0" w:space="0" w:color="auto"/>
      </w:divBdr>
      <w:divsChild>
        <w:div w:id="249050153">
          <w:marLeft w:val="3450"/>
          <w:marRight w:val="150"/>
          <w:marTop w:val="0"/>
          <w:marBottom w:val="0"/>
          <w:divBdr>
            <w:top w:val="none" w:sz="0" w:space="0" w:color="auto"/>
            <w:left w:val="none" w:sz="0" w:space="0" w:color="auto"/>
            <w:bottom w:val="none" w:sz="0" w:space="0" w:color="auto"/>
            <w:right w:val="none" w:sz="0" w:space="0" w:color="auto"/>
          </w:divBdr>
          <w:divsChild>
            <w:div w:id="115908093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39414155">
      <w:bodyDiv w:val="1"/>
      <w:marLeft w:val="0"/>
      <w:marRight w:val="0"/>
      <w:marTop w:val="0"/>
      <w:marBottom w:val="0"/>
      <w:divBdr>
        <w:top w:val="none" w:sz="0" w:space="0" w:color="auto"/>
        <w:left w:val="none" w:sz="0" w:space="0" w:color="auto"/>
        <w:bottom w:val="none" w:sz="0" w:space="0" w:color="auto"/>
        <w:right w:val="none" w:sz="0" w:space="0" w:color="auto"/>
      </w:divBdr>
      <w:divsChild>
        <w:div w:id="1653483206">
          <w:marLeft w:val="3450"/>
          <w:marRight w:val="150"/>
          <w:marTop w:val="0"/>
          <w:marBottom w:val="0"/>
          <w:divBdr>
            <w:top w:val="none" w:sz="0" w:space="0" w:color="auto"/>
            <w:left w:val="none" w:sz="0" w:space="0" w:color="auto"/>
            <w:bottom w:val="none" w:sz="0" w:space="0" w:color="auto"/>
            <w:right w:val="none" w:sz="0" w:space="0" w:color="auto"/>
          </w:divBdr>
          <w:divsChild>
            <w:div w:id="4646546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96956475">
      <w:bodyDiv w:val="1"/>
      <w:marLeft w:val="0"/>
      <w:marRight w:val="0"/>
      <w:marTop w:val="0"/>
      <w:marBottom w:val="0"/>
      <w:divBdr>
        <w:top w:val="none" w:sz="0" w:space="0" w:color="auto"/>
        <w:left w:val="none" w:sz="0" w:space="0" w:color="auto"/>
        <w:bottom w:val="none" w:sz="0" w:space="0" w:color="auto"/>
        <w:right w:val="none" w:sz="0" w:space="0" w:color="auto"/>
      </w:divBdr>
      <w:divsChild>
        <w:div w:id="1995992002">
          <w:marLeft w:val="0"/>
          <w:marRight w:val="0"/>
          <w:marTop w:val="60"/>
          <w:marBottom w:val="105"/>
          <w:divBdr>
            <w:top w:val="none" w:sz="0" w:space="0" w:color="auto"/>
            <w:left w:val="none" w:sz="0" w:space="0" w:color="auto"/>
            <w:bottom w:val="none" w:sz="0" w:space="0" w:color="auto"/>
            <w:right w:val="none" w:sz="0" w:space="0" w:color="auto"/>
          </w:divBdr>
          <w:divsChild>
            <w:div w:id="1602684271">
              <w:marLeft w:val="0"/>
              <w:marRight w:val="0"/>
              <w:marTop w:val="0"/>
              <w:marBottom w:val="0"/>
              <w:divBdr>
                <w:top w:val="none" w:sz="0" w:space="0" w:color="auto"/>
                <w:left w:val="none" w:sz="0" w:space="0" w:color="auto"/>
                <w:bottom w:val="none" w:sz="0" w:space="0" w:color="auto"/>
                <w:right w:val="none" w:sz="0" w:space="0" w:color="auto"/>
              </w:divBdr>
              <w:divsChild>
                <w:div w:id="633022476">
                  <w:marLeft w:val="0"/>
                  <w:marRight w:val="0"/>
                  <w:marTop w:val="0"/>
                  <w:marBottom w:val="0"/>
                  <w:divBdr>
                    <w:top w:val="none" w:sz="0" w:space="0" w:color="auto"/>
                    <w:left w:val="none" w:sz="0" w:space="0" w:color="auto"/>
                    <w:bottom w:val="none" w:sz="0" w:space="0" w:color="auto"/>
                    <w:right w:val="none" w:sz="0" w:space="0" w:color="auto"/>
                  </w:divBdr>
                  <w:divsChild>
                    <w:div w:id="1353919045">
                      <w:marLeft w:val="0"/>
                      <w:marRight w:val="0"/>
                      <w:marTop w:val="0"/>
                      <w:marBottom w:val="0"/>
                      <w:divBdr>
                        <w:top w:val="none" w:sz="0" w:space="0" w:color="auto"/>
                        <w:left w:val="none" w:sz="0" w:space="0" w:color="auto"/>
                        <w:bottom w:val="none" w:sz="0" w:space="0" w:color="auto"/>
                        <w:right w:val="none" w:sz="0" w:space="0" w:color="auto"/>
                      </w:divBdr>
                      <w:divsChild>
                        <w:div w:id="140032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381322">
      <w:bodyDiv w:val="1"/>
      <w:marLeft w:val="0"/>
      <w:marRight w:val="0"/>
      <w:marTop w:val="0"/>
      <w:marBottom w:val="0"/>
      <w:divBdr>
        <w:top w:val="none" w:sz="0" w:space="0" w:color="auto"/>
        <w:left w:val="none" w:sz="0" w:space="0" w:color="auto"/>
        <w:bottom w:val="none" w:sz="0" w:space="0" w:color="auto"/>
        <w:right w:val="none" w:sz="0" w:space="0" w:color="auto"/>
      </w:divBdr>
      <w:divsChild>
        <w:div w:id="189417194">
          <w:marLeft w:val="3450"/>
          <w:marRight w:val="150"/>
          <w:marTop w:val="0"/>
          <w:marBottom w:val="0"/>
          <w:divBdr>
            <w:top w:val="none" w:sz="0" w:space="0" w:color="auto"/>
            <w:left w:val="none" w:sz="0" w:space="0" w:color="auto"/>
            <w:bottom w:val="none" w:sz="0" w:space="0" w:color="auto"/>
            <w:right w:val="none" w:sz="0" w:space="0" w:color="auto"/>
          </w:divBdr>
          <w:divsChild>
            <w:div w:id="27783983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309216283">
      <w:bodyDiv w:val="1"/>
      <w:marLeft w:val="0"/>
      <w:marRight w:val="0"/>
      <w:marTop w:val="0"/>
      <w:marBottom w:val="0"/>
      <w:divBdr>
        <w:top w:val="none" w:sz="0" w:space="0" w:color="auto"/>
        <w:left w:val="none" w:sz="0" w:space="0" w:color="auto"/>
        <w:bottom w:val="none" w:sz="0" w:space="0" w:color="auto"/>
        <w:right w:val="none" w:sz="0" w:space="0" w:color="auto"/>
      </w:divBdr>
      <w:divsChild>
        <w:div w:id="1671172888">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317003751">
      <w:bodyDiv w:val="1"/>
      <w:marLeft w:val="0"/>
      <w:marRight w:val="0"/>
      <w:marTop w:val="0"/>
      <w:marBottom w:val="0"/>
      <w:divBdr>
        <w:top w:val="none" w:sz="0" w:space="0" w:color="auto"/>
        <w:left w:val="none" w:sz="0" w:space="0" w:color="auto"/>
        <w:bottom w:val="none" w:sz="0" w:space="0" w:color="auto"/>
        <w:right w:val="none" w:sz="0" w:space="0" w:color="auto"/>
      </w:divBdr>
      <w:divsChild>
        <w:div w:id="18550669">
          <w:marLeft w:val="1440"/>
          <w:marRight w:val="0"/>
          <w:marTop w:val="0"/>
          <w:marBottom w:val="0"/>
          <w:divBdr>
            <w:top w:val="none" w:sz="0" w:space="0" w:color="auto"/>
            <w:left w:val="none" w:sz="0" w:space="0" w:color="auto"/>
            <w:bottom w:val="none" w:sz="0" w:space="0" w:color="auto"/>
            <w:right w:val="none" w:sz="0" w:space="0" w:color="auto"/>
          </w:divBdr>
          <w:divsChild>
            <w:div w:id="885290712">
              <w:marLeft w:val="0"/>
              <w:marRight w:val="0"/>
              <w:marTop w:val="0"/>
              <w:marBottom w:val="0"/>
              <w:divBdr>
                <w:top w:val="none" w:sz="0" w:space="0" w:color="auto"/>
                <w:left w:val="none" w:sz="0" w:space="0" w:color="auto"/>
                <w:bottom w:val="none" w:sz="0" w:space="0" w:color="auto"/>
                <w:right w:val="none" w:sz="0" w:space="0" w:color="auto"/>
              </w:divBdr>
            </w:div>
            <w:div w:id="1264537045">
              <w:marLeft w:val="576"/>
              <w:marRight w:val="0"/>
              <w:marTop w:val="0"/>
              <w:marBottom w:val="0"/>
              <w:divBdr>
                <w:top w:val="none" w:sz="0" w:space="0" w:color="auto"/>
                <w:left w:val="none" w:sz="0" w:space="0" w:color="auto"/>
                <w:bottom w:val="none" w:sz="0" w:space="0" w:color="auto"/>
                <w:right w:val="none" w:sz="0" w:space="0" w:color="auto"/>
              </w:divBdr>
            </w:div>
            <w:div w:id="1912542368">
              <w:marLeft w:val="576"/>
              <w:marRight w:val="0"/>
              <w:marTop w:val="0"/>
              <w:marBottom w:val="0"/>
              <w:divBdr>
                <w:top w:val="none" w:sz="0" w:space="0" w:color="auto"/>
                <w:left w:val="none" w:sz="0" w:space="0" w:color="auto"/>
                <w:bottom w:val="none" w:sz="0" w:space="0" w:color="auto"/>
                <w:right w:val="none" w:sz="0" w:space="0" w:color="auto"/>
              </w:divBdr>
            </w:div>
          </w:divsChild>
        </w:div>
        <w:div w:id="352805478">
          <w:marLeft w:val="1152"/>
          <w:marRight w:val="0"/>
          <w:marTop w:val="0"/>
          <w:marBottom w:val="0"/>
          <w:divBdr>
            <w:top w:val="none" w:sz="0" w:space="0" w:color="auto"/>
            <w:left w:val="none" w:sz="0" w:space="0" w:color="auto"/>
            <w:bottom w:val="none" w:sz="0" w:space="0" w:color="auto"/>
            <w:right w:val="none" w:sz="0" w:space="0" w:color="auto"/>
          </w:divBdr>
          <w:divsChild>
            <w:div w:id="104888841">
              <w:marLeft w:val="864"/>
              <w:marRight w:val="0"/>
              <w:marTop w:val="0"/>
              <w:marBottom w:val="0"/>
              <w:divBdr>
                <w:top w:val="none" w:sz="0" w:space="0" w:color="auto"/>
                <w:left w:val="none" w:sz="0" w:space="0" w:color="auto"/>
                <w:bottom w:val="none" w:sz="0" w:space="0" w:color="auto"/>
                <w:right w:val="none" w:sz="0" w:space="0" w:color="auto"/>
              </w:divBdr>
            </w:div>
            <w:div w:id="219948305">
              <w:marLeft w:val="864"/>
              <w:marRight w:val="0"/>
              <w:marTop w:val="0"/>
              <w:marBottom w:val="0"/>
              <w:divBdr>
                <w:top w:val="none" w:sz="0" w:space="0" w:color="auto"/>
                <w:left w:val="none" w:sz="0" w:space="0" w:color="auto"/>
                <w:bottom w:val="none" w:sz="0" w:space="0" w:color="auto"/>
                <w:right w:val="none" w:sz="0" w:space="0" w:color="auto"/>
              </w:divBdr>
            </w:div>
            <w:div w:id="536043875">
              <w:marLeft w:val="576"/>
              <w:marRight w:val="0"/>
              <w:marTop w:val="0"/>
              <w:marBottom w:val="0"/>
              <w:divBdr>
                <w:top w:val="none" w:sz="0" w:space="0" w:color="auto"/>
                <w:left w:val="none" w:sz="0" w:space="0" w:color="auto"/>
                <w:bottom w:val="none" w:sz="0" w:space="0" w:color="auto"/>
                <w:right w:val="none" w:sz="0" w:space="0" w:color="auto"/>
              </w:divBdr>
            </w:div>
            <w:div w:id="558132668">
              <w:marLeft w:val="0"/>
              <w:marRight w:val="0"/>
              <w:marTop w:val="0"/>
              <w:marBottom w:val="0"/>
              <w:divBdr>
                <w:top w:val="none" w:sz="0" w:space="0" w:color="auto"/>
                <w:left w:val="none" w:sz="0" w:space="0" w:color="auto"/>
                <w:bottom w:val="none" w:sz="0" w:space="0" w:color="auto"/>
                <w:right w:val="none" w:sz="0" w:space="0" w:color="auto"/>
              </w:divBdr>
            </w:div>
            <w:div w:id="693768864">
              <w:marLeft w:val="864"/>
              <w:marRight w:val="0"/>
              <w:marTop w:val="0"/>
              <w:marBottom w:val="0"/>
              <w:divBdr>
                <w:top w:val="none" w:sz="0" w:space="0" w:color="auto"/>
                <w:left w:val="none" w:sz="0" w:space="0" w:color="auto"/>
                <w:bottom w:val="none" w:sz="0" w:space="0" w:color="auto"/>
                <w:right w:val="none" w:sz="0" w:space="0" w:color="auto"/>
              </w:divBdr>
            </w:div>
            <w:div w:id="925384063">
              <w:marLeft w:val="576"/>
              <w:marRight w:val="0"/>
              <w:marTop w:val="0"/>
              <w:marBottom w:val="0"/>
              <w:divBdr>
                <w:top w:val="none" w:sz="0" w:space="0" w:color="auto"/>
                <w:left w:val="none" w:sz="0" w:space="0" w:color="auto"/>
                <w:bottom w:val="none" w:sz="0" w:space="0" w:color="auto"/>
                <w:right w:val="none" w:sz="0" w:space="0" w:color="auto"/>
              </w:divBdr>
            </w:div>
            <w:div w:id="1387606726">
              <w:marLeft w:val="864"/>
              <w:marRight w:val="0"/>
              <w:marTop w:val="0"/>
              <w:marBottom w:val="0"/>
              <w:divBdr>
                <w:top w:val="none" w:sz="0" w:space="0" w:color="auto"/>
                <w:left w:val="none" w:sz="0" w:space="0" w:color="auto"/>
                <w:bottom w:val="none" w:sz="0" w:space="0" w:color="auto"/>
                <w:right w:val="none" w:sz="0" w:space="0" w:color="auto"/>
              </w:divBdr>
            </w:div>
            <w:div w:id="1402408020">
              <w:marLeft w:val="864"/>
              <w:marRight w:val="0"/>
              <w:marTop w:val="0"/>
              <w:marBottom w:val="0"/>
              <w:divBdr>
                <w:top w:val="none" w:sz="0" w:space="0" w:color="auto"/>
                <w:left w:val="none" w:sz="0" w:space="0" w:color="auto"/>
                <w:bottom w:val="none" w:sz="0" w:space="0" w:color="auto"/>
                <w:right w:val="none" w:sz="0" w:space="0" w:color="auto"/>
              </w:divBdr>
            </w:div>
            <w:div w:id="1721436808">
              <w:marLeft w:val="576"/>
              <w:marRight w:val="0"/>
              <w:marTop w:val="0"/>
              <w:marBottom w:val="0"/>
              <w:divBdr>
                <w:top w:val="none" w:sz="0" w:space="0" w:color="auto"/>
                <w:left w:val="none" w:sz="0" w:space="0" w:color="auto"/>
                <w:bottom w:val="none" w:sz="0" w:space="0" w:color="auto"/>
                <w:right w:val="none" w:sz="0" w:space="0" w:color="auto"/>
              </w:divBdr>
            </w:div>
            <w:div w:id="1920600105">
              <w:marLeft w:val="864"/>
              <w:marRight w:val="0"/>
              <w:marTop w:val="0"/>
              <w:marBottom w:val="0"/>
              <w:divBdr>
                <w:top w:val="none" w:sz="0" w:space="0" w:color="auto"/>
                <w:left w:val="none" w:sz="0" w:space="0" w:color="auto"/>
                <w:bottom w:val="none" w:sz="0" w:space="0" w:color="auto"/>
                <w:right w:val="none" w:sz="0" w:space="0" w:color="auto"/>
              </w:divBdr>
            </w:div>
          </w:divsChild>
        </w:div>
      </w:divsChild>
    </w:div>
    <w:div w:id="376978163">
      <w:bodyDiv w:val="1"/>
      <w:marLeft w:val="0"/>
      <w:marRight w:val="0"/>
      <w:marTop w:val="0"/>
      <w:marBottom w:val="0"/>
      <w:divBdr>
        <w:top w:val="none" w:sz="0" w:space="0" w:color="auto"/>
        <w:left w:val="none" w:sz="0" w:space="0" w:color="auto"/>
        <w:bottom w:val="none" w:sz="0" w:space="0" w:color="auto"/>
        <w:right w:val="none" w:sz="0" w:space="0" w:color="auto"/>
      </w:divBdr>
      <w:divsChild>
        <w:div w:id="1559049964">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393939340">
      <w:bodyDiv w:val="1"/>
      <w:marLeft w:val="0"/>
      <w:marRight w:val="0"/>
      <w:marTop w:val="0"/>
      <w:marBottom w:val="0"/>
      <w:divBdr>
        <w:top w:val="none" w:sz="0" w:space="0" w:color="auto"/>
        <w:left w:val="none" w:sz="0" w:space="0" w:color="auto"/>
        <w:bottom w:val="none" w:sz="0" w:space="0" w:color="auto"/>
        <w:right w:val="none" w:sz="0" w:space="0" w:color="auto"/>
      </w:divBdr>
      <w:divsChild>
        <w:div w:id="705300121">
          <w:marLeft w:val="1152"/>
          <w:marRight w:val="0"/>
          <w:marTop w:val="0"/>
          <w:marBottom w:val="0"/>
          <w:divBdr>
            <w:top w:val="none" w:sz="0" w:space="0" w:color="auto"/>
            <w:left w:val="none" w:sz="0" w:space="0" w:color="auto"/>
            <w:bottom w:val="none" w:sz="0" w:space="0" w:color="auto"/>
            <w:right w:val="none" w:sz="0" w:space="0" w:color="auto"/>
          </w:divBdr>
          <w:divsChild>
            <w:div w:id="820120388">
              <w:marLeft w:val="576"/>
              <w:marRight w:val="0"/>
              <w:marTop w:val="0"/>
              <w:marBottom w:val="0"/>
              <w:divBdr>
                <w:top w:val="none" w:sz="0" w:space="0" w:color="auto"/>
                <w:left w:val="none" w:sz="0" w:space="0" w:color="auto"/>
                <w:bottom w:val="none" w:sz="0" w:space="0" w:color="auto"/>
                <w:right w:val="none" w:sz="0" w:space="0" w:color="auto"/>
              </w:divBdr>
            </w:div>
            <w:div w:id="1978410338">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428892338">
      <w:bodyDiv w:val="1"/>
      <w:marLeft w:val="0"/>
      <w:marRight w:val="0"/>
      <w:marTop w:val="0"/>
      <w:marBottom w:val="0"/>
      <w:divBdr>
        <w:top w:val="none" w:sz="0" w:space="0" w:color="auto"/>
        <w:left w:val="none" w:sz="0" w:space="0" w:color="auto"/>
        <w:bottom w:val="none" w:sz="0" w:space="0" w:color="auto"/>
        <w:right w:val="none" w:sz="0" w:space="0" w:color="auto"/>
      </w:divBdr>
      <w:divsChild>
        <w:div w:id="230694524">
          <w:marLeft w:val="0"/>
          <w:marRight w:val="0"/>
          <w:marTop w:val="180"/>
          <w:marBottom w:val="0"/>
          <w:divBdr>
            <w:top w:val="none" w:sz="0" w:space="0" w:color="auto"/>
            <w:left w:val="none" w:sz="0" w:space="0" w:color="auto"/>
            <w:bottom w:val="none" w:sz="0" w:space="0" w:color="auto"/>
            <w:right w:val="none" w:sz="0" w:space="0" w:color="auto"/>
          </w:divBdr>
          <w:divsChild>
            <w:div w:id="1298605112">
              <w:marLeft w:val="0"/>
              <w:marRight w:val="0"/>
              <w:marTop w:val="0"/>
              <w:marBottom w:val="0"/>
              <w:divBdr>
                <w:top w:val="none" w:sz="0" w:space="0" w:color="auto"/>
                <w:left w:val="none" w:sz="0" w:space="0" w:color="auto"/>
                <w:bottom w:val="none" w:sz="0" w:space="0" w:color="auto"/>
                <w:right w:val="none" w:sz="0" w:space="0" w:color="auto"/>
              </w:divBdr>
              <w:divsChild>
                <w:div w:id="24865858">
                  <w:marLeft w:val="2100"/>
                  <w:marRight w:val="0"/>
                  <w:marTop w:val="0"/>
                  <w:marBottom w:val="0"/>
                  <w:divBdr>
                    <w:top w:val="none" w:sz="0" w:space="0" w:color="auto"/>
                    <w:left w:val="none" w:sz="0" w:space="0" w:color="auto"/>
                    <w:bottom w:val="none" w:sz="0" w:space="0" w:color="auto"/>
                    <w:right w:val="none" w:sz="0" w:space="0" w:color="auto"/>
                  </w:divBdr>
                  <w:divsChild>
                    <w:div w:id="20006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547">
      <w:bodyDiv w:val="1"/>
      <w:marLeft w:val="0"/>
      <w:marRight w:val="0"/>
      <w:marTop w:val="0"/>
      <w:marBottom w:val="0"/>
      <w:divBdr>
        <w:top w:val="none" w:sz="0" w:space="0" w:color="auto"/>
        <w:left w:val="none" w:sz="0" w:space="0" w:color="auto"/>
        <w:bottom w:val="none" w:sz="0" w:space="0" w:color="auto"/>
        <w:right w:val="none" w:sz="0" w:space="0" w:color="auto"/>
      </w:divBdr>
      <w:divsChild>
        <w:div w:id="1498880149">
          <w:marLeft w:val="0"/>
          <w:marRight w:val="0"/>
          <w:marTop w:val="180"/>
          <w:marBottom w:val="0"/>
          <w:divBdr>
            <w:top w:val="none" w:sz="0" w:space="0" w:color="auto"/>
            <w:left w:val="none" w:sz="0" w:space="0" w:color="auto"/>
            <w:bottom w:val="none" w:sz="0" w:space="0" w:color="auto"/>
            <w:right w:val="none" w:sz="0" w:space="0" w:color="auto"/>
          </w:divBdr>
          <w:divsChild>
            <w:div w:id="563756512">
              <w:marLeft w:val="0"/>
              <w:marRight w:val="0"/>
              <w:marTop w:val="0"/>
              <w:marBottom w:val="0"/>
              <w:divBdr>
                <w:top w:val="none" w:sz="0" w:space="0" w:color="auto"/>
                <w:left w:val="none" w:sz="0" w:space="0" w:color="auto"/>
                <w:bottom w:val="none" w:sz="0" w:space="0" w:color="auto"/>
                <w:right w:val="none" w:sz="0" w:space="0" w:color="auto"/>
              </w:divBdr>
              <w:divsChild>
                <w:div w:id="1662467507">
                  <w:marLeft w:val="1410"/>
                  <w:marRight w:val="0"/>
                  <w:marTop w:val="0"/>
                  <w:marBottom w:val="0"/>
                  <w:divBdr>
                    <w:top w:val="none" w:sz="0" w:space="0" w:color="auto"/>
                    <w:left w:val="none" w:sz="0" w:space="0" w:color="auto"/>
                    <w:bottom w:val="none" w:sz="0" w:space="0" w:color="auto"/>
                    <w:right w:val="none" w:sz="0" w:space="0" w:color="auto"/>
                  </w:divBdr>
                  <w:divsChild>
                    <w:div w:id="271790233">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249560">
      <w:bodyDiv w:val="1"/>
      <w:marLeft w:val="0"/>
      <w:marRight w:val="0"/>
      <w:marTop w:val="100"/>
      <w:marBottom w:val="100"/>
      <w:divBdr>
        <w:top w:val="none" w:sz="0" w:space="0" w:color="auto"/>
        <w:left w:val="none" w:sz="0" w:space="0" w:color="auto"/>
        <w:bottom w:val="none" w:sz="0" w:space="0" w:color="auto"/>
        <w:right w:val="none" w:sz="0" w:space="0" w:color="auto"/>
      </w:divBdr>
      <w:divsChild>
        <w:div w:id="1550921842">
          <w:marLeft w:val="0"/>
          <w:marRight w:val="0"/>
          <w:marTop w:val="0"/>
          <w:marBottom w:val="0"/>
          <w:divBdr>
            <w:top w:val="none" w:sz="0" w:space="0" w:color="auto"/>
            <w:left w:val="none" w:sz="0" w:space="0" w:color="auto"/>
            <w:bottom w:val="single" w:sz="6" w:space="0" w:color="AFC4BF"/>
            <w:right w:val="none" w:sz="0" w:space="0" w:color="auto"/>
          </w:divBdr>
        </w:div>
      </w:divsChild>
    </w:div>
    <w:div w:id="491872766">
      <w:bodyDiv w:val="1"/>
      <w:marLeft w:val="0"/>
      <w:marRight w:val="0"/>
      <w:marTop w:val="0"/>
      <w:marBottom w:val="0"/>
      <w:divBdr>
        <w:top w:val="none" w:sz="0" w:space="0" w:color="auto"/>
        <w:left w:val="none" w:sz="0" w:space="0" w:color="auto"/>
        <w:bottom w:val="none" w:sz="0" w:space="0" w:color="auto"/>
        <w:right w:val="none" w:sz="0" w:space="0" w:color="auto"/>
      </w:divBdr>
      <w:divsChild>
        <w:div w:id="2028824767">
          <w:marLeft w:val="0"/>
          <w:marRight w:val="0"/>
          <w:marTop w:val="180"/>
          <w:marBottom w:val="0"/>
          <w:divBdr>
            <w:top w:val="none" w:sz="0" w:space="0" w:color="auto"/>
            <w:left w:val="none" w:sz="0" w:space="0" w:color="auto"/>
            <w:bottom w:val="none" w:sz="0" w:space="0" w:color="auto"/>
            <w:right w:val="none" w:sz="0" w:space="0" w:color="auto"/>
          </w:divBdr>
          <w:divsChild>
            <w:div w:id="1198273666">
              <w:marLeft w:val="0"/>
              <w:marRight w:val="0"/>
              <w:marTop w:val="0"/>
              <w:marBottom w:val="0"/>
              <w:divBdr>
                <w:top w:val="none" w:sz="0" w:space="0" w:color="auto"/>
                <w:left w:val="none" w:sz="0" w:space="0" w:color="auto"/>
                <w:bottom w:val="none" w:sz="0" w:space="0" w:color="auto"/>
                <w:right w:val="none" w:sz="0" w:space="0" w:color="auto"/>
              </w:divBdr>
              <w:divsChild>
                <w:div w:id="1627422597">
                  <w:marLeft w:val="1410"/>
                  <w:marRight w:val="0"/>
                  <w:marTop w:val="0"/>
                  <w:marBottom w:val="0"/>
                  <w:divBdr>
                    <w:top w:val="none" w:sz="0" w:space="0" w:color="auto"/>
                    <w:left w:val="none" w:sz="0" w:space="0" w:color="auto"/>
                    <w:bottom w:val="none" w:sz="0" w:space="0" w:color="auto"/>
                    <w:right w:val="none" w:sz="0" w:space="0" w:color="auto"/>
                  </w:divBdr>
                  <w:divsChild>
                    <w:div w:id="595023907">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461405">
      <w:bodyDiv w:val="1"/>
      <w:marLeft w:val="0"/>
      <w:marRight w:val="0"/>
      <w:marTop w:val="0"/>
      <w:marBottom w:val="0"/>
      <w:divBdr>
        <w:top w:val="none" w:sz="0" w:space="0" w:color="auto"/>
        <w:left w:val="none" w:sz="0" w:space="0" w:color="auto"/>
        <w:bottom w:val="none" w:sz="0" w:space="0" w:color="auto"/>
        <w:right w:val="none" w:sz="0" w:space="0" w:color="auto"/>
      </w:divBdr>
      <w:divsChild>
        <w:div w:id="1933708196">
          <w:marLeft w:val="0"/>
          <w:marRight w:val="0"/>
          <w:marTop w:val="60"/>
          <w:marBottom w:val="105"/>
          <w:divBdr>
            <w:top w:val="none" w:sz="0" w:space="0" w:color="auto"/>
            <w:left w:val="none" w:sz="0" w:space="0" w:color="auto"/>
            <w:bottom w:val="none" w:sz="0" w:space="0" w:color="auto"/>
            <w:right w:val="none" w:sz="0" w:space="0" w:color="auto"/>
          </w:divBdr>
          <w:divsChild>
            <w:div w:id="1035934304">
              <w:marLeft w:val="0"/>
              <w:marRight w:val="0"/>
              <w:marTop w:val="0"/>
              <w:marBottom w:val="0"/>
              <w:divBdr>
                <w:top w:val="none" w:sz="0" w:space="0" w:color="auto"/>
                <w:left w:val="none" w:sz="0" w:space="0" w:color="auto"/>
                <w:bottom w:val="none" w:sz="0" w:space="0" w:color="auto"/>
                <w:right w:val="none" w:sz="0" w:space="0" w:color="auto"/>
              </w:divBdr>
              <w:divsChild>
                <w:div w:id="265962229">
                  <w:marLeft w:val="0"/>
                  <w:marRight w:val="0"/>
                  <w:marTop w:val="0"/>
                  <w:marBottom w:val="0"/>
                  <w:divBdr>
                    <w:top w:val="none" w:sz="0" w:space="0" w:color="auto"/>
                    <w:left w:val="none" w:sz="0" w:space="0" w:color="auto"/>
                    <w:bottom w:val="none" w:sz="0" w:space="0" w:color="auto"/>
                    <w:right w:val="none" w:sz="0" w:space="0" w:color="auto"/>
                  </w:divBdr>
                  <w:divsChild>
                    <w:div w:id="833691327">
                      <w:marLeft w:val="0"/>
                      <w:marRight w:val="0"/>
                      <w:marTop w:val="0"/>
                      <w:marBottom w:val="0"/>
                      <w:divBdr>
                        <w:top w:val="none" w:sz="0" w:space="0" w:color="auto"/>
                        <w:left w:val="none" w:sz="0" w:space="0" w:color="auto"/>
                        <w:bottom w:val="none" w:sz="0" w:space="0" w:color="auto"/>
                        <w:right w:val="none" w:sz="0" w:space="0" w:color="auto"/>
                      </w:divBdr>
                      <w:divsChild>
                        <w:div w:id="63911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36366">
      <w:bodyDiv w:val="1"/>
      <w:marLeft w:val="0"/>
      <w:marRight w:val="0"/>
      <w:marTop w:val="100"/>
      <w:marBottom w:val="100"/>
      <w:divBdr>
        <w:top w:val="none" w:sz="0" w:space="0" w:color="auto"/>
        <w:left w:val="none" w:sz="0" w:space="0" w:color="auto"/>
        <w:bottom w:val="none" w:sz="0" w:space="0" w:color="auto"/>
        <w:right w:val="none" w:sz="0" w:space="0" w:color="auto"/>
      </w:divBdr>
      <w:divsChild>
        <w:div w:id="1522814458">
          <w:marLeft w:val="0"/>
          <w:marRight w:val="0"/>
          <w:marTop w:val="0"/>
          <w:marBottom w:val="0"/>
          <w:divBdr>
            <w:top w:val="none" w:sz="0" w:space="0" w:color="auto"/>
            <w:left w:val="none" w:sz="0" w:space="0" w:color="auto"/>
            <w:bottom w:val="single" w:sz="6" w:space="0" w:color="AFC4BF"/>
            <w:right w:val="none" w:sz="0" w:space="0" w:color="auto"/>
          </w:divBdr>
        </w:div>
      </w:divsChild>
    </w:div>
    <w:div w:id="509295506">
      <w:bodyDiv w:val="1"/>
      <w:marLeft w:val="0"/>
      <w:marRight w:val="0"/>
      <w:marTop w:val="0"/>
      <w:marBottom w:val="0"/>
      <w:divBdr>
        <w:top w:val="none" w:sz="0" w:space="0" w:color="auto"/>
        <w:left w:val="none" w:sz="0" w:space="0" w:color="auto"/>
        <w:bottom w:val="none" w:sz="0" w:space="0" w:color="auto"/>
        <w:right w:val="none" w:sz="0" w:space="0" w:color="auto"/>
      </w:divBdr>
      <w:divsChild>
        <w:div w:id="103769393">
          <w:marLeft w:val="0"/>
          <w:marRight w:val="0"/>
          <w:marTop w:val="60"/>
          <w:marBottom w:val="105"/>
          <w:divBdr>
            <w:top w:val="none" w:sz="0" w:space="0" w:color="auto"/>
            <w:left w:val="none" w:sz="0" w:space="0" w:color="auto"/>
            <w:bottom w:val="none" w:sz="0" w:space="0" w:color="auto"/>
            <w:right w:val="none" w:sz="0" w:space="0" w:color="auto"/>
          </w:divBdr>
          <w:divsChild>
            <w:div w:id="1887445728">
              <w:marLeft w:val="0"/>
              <w:marRight w:val="0"/>
              <w:marTop w:val="0"/>
              <w:marBottom w:val="0"/>
              <w:divBdr>
                <w:top w:val="none" w:sz="0" w:space="0" w:color="auto"/>
                <w:left w:val="none" w:sz="0" w:space="0" w:color="auto"/>
                <w:bottom w:val="none" w:sz="0" w:space="0" w:color="auto"/>
                <w:right w:val="none" w:sz="0" w:space="0" w:color="auto"/>
              </w:divBdr>
              <w:divsChild>
                <w:div w:id="1905142486">
                  <w:marLeft w:val="0"/>
                  <w:marRight w:val="0"/>
                  <w:marTop w:val="0"/>
                  <w:marBottom w:val="0"/>
                  <w:divBdr>
                    <w:top w:val="none" w:sz="0" w:space="0" w:color="auto"/>
                    <w:left w:val="none" w:sz="0" w:space="0" w:color="auto"/>
                    <w:bottom w:val="none" w:sz="0" w:space="0" w:color="auto"/>
                    <w:right w:val="none" w:sz="0" w:space="0" w:color="auto"/>
                  </w:divBdr>
                  <w:divsChild>
                    <w:div w:id="1340309199">
                      <w:marLeft w:val="0"/>
                      <w:marRight w:val="0"/>
                      <w:marTop w:val="0"/>
                      <w:marBottom w:val="0"/>
                      <w:divBdr>
                        <w:top w:val="none" w:sz="0" w:space="0" w:color="auto"/>
                        <w:left w:val="none" w:sz="0" w:space="0" w:color="auto"/>
                        <w:bottom w:val="none" w:sz="0" w:space="0" w:color="auto"/>
                        <w:right w:val="none" w:sz="0" w:space="0" w:color="auto"/>
                      </w:divBdr>
                      <w:divsChild>
                        <w:div w:id="46393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062380">
      <w:bodyDiv w:val="1"/>
      <w:marLeft w:val="0"/>
      <w:marRight w:val="0"/>
      <w:marTop w:val="0"/>
      <w:marBottom w:val="0"/>
      <w:divBdr>
        <w:top w:val="none" w:sz="0" w:space="0" w:color="auto"/>
        <w:left w:val="none" w:sz="0" w:space="0" w:color="auto"/>
        <w:bottom w:val="none" w:sz="0" w:space="0" w:color="auto"/>
        <w:right w:val="none" w:sz="0" w:space="0" w:color="auto"/>
      </w:divBdr>
      <w:divsChild>
        <w:div w:id="1978492362">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587226970">
      <w:bodyDiv w:val="1"/>
      <w:marLeft w:val="0"/>
      <w:marRight w:val="0"/>
      <w:marTop w:val="0"/>
      <w:marBottom w:val="0"/>
      <w:divBdr>
        <w:top w:val="none" w:sz="0" w:space="0" w:color="auto"/>
        <w:left w:val="none" w:sz="0" w:space="0" w:color="auto"/>
        <w:bottom w:val="none" w:sz="0" w:space="0" w:color="auto"/>
        <w:right w:val="none" w:sz="0" w:space="0" w:color="auto"/>
      </w:divBdr>
      <w:divsChild>
        <w:div w:id="665203806">
          <w:marLeft w:val="3450"/>
          <w:marRight w:val="150"/>
          <w:marTop w:val="0"/>
          <w:marBottom w:val="0"/>
          <w:divBdr>
            <w:top w:val="none" w:sz="0" w:space="0" w:color="auto"/>
            <w:left w:val="none" w:sz="0" w:space="0" w:color="auto"/>
            <w:bottom w:val="none" w:sz="0" w:space="0" w:color="auto"/>
            <w:right w:val="none" w:sz="0" w:space="0" w:color="auto"/>
          </w:divBdr>
          <w:divsChild>
            <w:div w:id="156398089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596250604">
      <w:bodyDiv w:val="1"/>
      <w:marLeft w:val="0"/>
      <w:marRight w:val="0"/>
      <w:marTop w:val="0"/>
      <w:marBottom w:val="0"/>
      <w:divBdr>
        <w:top w:val="none" w:sz="0" w:space="0" w:color="auto"/>
        <w:left w:val="none" w:sz="0" w:space="0" w:color="auto"/>
        <w:bottom w:val="none" w:sz="0" w:space="0" w:color="auto"/>
        <w:right w:val="none" w:sz="0" w:space="0" w:color="auto"/>
      </w:divBdr>
    </w:div>
    <w:div w:id="605577255">
      <w:bodyDiv w:val="1"/>
      <w:marLeft w:val="0"/>
      <w:marRight w:val="0"/>
      <w:marTop w:val="0"/>
      <w:marBottom w:val="0"/>
      <w:divBdr>
        <w:top w:val="none" w:sz="0" w:space="0" w:color="auto"/>
        <w:left w:val="none" w:sz="0" w:space="0" w:color="auto"/>
        <w:bottom w:val="none" w:sz="0" w:space="0" w:color="auto"/>
        <w:right w:val="none" w:sz="0" w:space="0" w:color="auto"/>
      </w:divBdr>
      <w:divsChild>
        <w:div w:id="1644505382">
          <w:marLeft w:val="3450"/>
          <w:marRight w:val="150"/>
          <w:marTop w:val="0"/>
          <w:marBottom w:val="0"/>
          <w:divBdr>
            <w:top w:val="none" w:sz="0" w:space="0" w:color="auto"/>
            <w:left w:val="none" w:sz="0" w:space="0" w:color="auto"/>
            <w:bottom w:val="none" w:sz="0" w:space="0" w:color="auto"/>
            <w:right w:val="none" w:sz="0" w:space="0" w:color="auto"/>
          </w:divBdr>
          <w:divsChild>
            <w:div w:id="8513349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05966852">
      <w:bodyDiv w:val="1"/>
      <w:marLeft w:val="0"/>
      <w:marRight w:val="0"/>
      <w:marTop w:val="0"/>
      <w:marBottom w:val="0"/>
      <w:divBdr>
        <w:top w:val="none" w:sz="0" w:space="0" w:color="auto"/>
        <w:left w:val="none" w:sz="0" w:space="0" w:color="auto"/>
        <w:bottom w:val="none" w:sz="0" w:space="0" w:color="auto"/>
        <w:right w:val="none" w:sz="0" w:space="0" w:color="auto"/>
      </w:divBdr>
      <w:divsChild>
        <w:div w:id="1984961986">
          <w:marLeft w:val="3450"/>
          <w:marRight w:val="150"/>
          <w:marTop w:val="0"/>
          <w:marBottom w:val="0"/>
          <w:divBdr>
            <w:top w:val="none" w:sz="0" w:space="0" w:color="auto"/>
            <w:left w:val="none" w:sz="0" w:space="0" w:color="auto"/>
            <w:bottom w:val="none" w:sz="0" w:space="0" w:color="auto"/>
            <w:right w:val="none" w:sz="0" w:space="0" w:color="auto"/>
          </w:divBdr>
          <w:divsChild>
            <w:div w:id="20860956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15137086">
      <w:bodyDiv w:val="1"/>
      <w:marLeft w:val="0"/>
      <w:marRight w:val="0"/>
      <w:marTop w:val="0"/>
      <w:marBottom w:val="0"/>
      <w:divBdr>
        <w:top w:val="none" w:sz="0" w:space="0" w:color="auto"/>
        <w:left w:val="none" w:sz="0" w:space="0" w:color="auto"/>
        <w:bottom w:val="none" w:sz="0" w:space="0" w:color="auto"/>
        <w:right w:val="none" w:sz="0" w:space="0" w:color="auto"/>
      </w:divBdr>
      <w:divsChild>
        <w:div w:id="1599603439">
          <w:marLeft w:val="0"/>
          <w:marRight w:val="0"/>
          <w:marTop w:val="180"/>
          <w:marBottom w:val="0"/>
          <w:divBdr>
            <w:top w:val="none" w:sz="0" w:space="0" w:color="auto"/>
            <w:left w:val="none" w:sz="0" w:space="0" w:color="auto"/>
            <w:bottom w:val="none" w:sz="0" w:space="0" w:color="auto"/>
            <w:right w:val="none" w:sz="0" w:space="0" w:color="auto"/>
          </w:divBdr>
          <w:divsChild>
            <w:div w:id="1426655809">
              <w:marLeft w:val="0"/>
              <w:marRight w:val="0"/>
              <w:marTop w:val="0"/>
              <w:marBottom w:val="0"/>
              <w:divBdr>
                <w:top w:val="none" w:sz="0" w:space="0" w:color="auto"/>
                <w:left w:val="none" w:sz="0" w:space="0" w:color="auto"/>
                <w:bottom w:val="none" w:sz="0" w:space="0" w:color="auto"/>
                <w:right w:val="none" w:sz="0" w:space="0" w:color="auto"/>
              </w:divBdr>
              <w:divsChild>
                <w:div w:id="73169490">
                  <w:marLeft w:val="2100"/>
                  <w:marRight w:val="0"/>
                  <w:marTop w:val="0"/>
                  <w:marBottom w:val="0"/>
                  <w:divBdr>
                    <w:top w:val="none" w:sz="0" w:space="0" w:color="auto"/>
                    <w:left w:val="none" w:sz="0" w:space="0" w:color="auto"/>
                    <w:bottom w:val="none" w:sz="0" w:space="0" w:color="auto"/>
                    <w:right w:val="none" w:sz="0" w:space="0" w:color="auto"/>
                  </w:divBdr>
                  <w:divsChild>
                    <w:div w:id="8107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628006">
      <w:bodyDiv w:val="1"/>
      <w:marLeft w:val="0"/>
      <w:marRight w:val="0"/>
      <w:marTop w:val="0"/>
      <w:marBottom w:val="0"/>
      <w:divBdr>
        <w:top w:val="none" w:sz="0" w:space="0" w:color="auto"/>
        <w:left w:val="none" w:sz="0" w:space="0" w:color="auto"/>
        <w:bottom w:val="none" w:sz="0" w:space="0" w:color="auto"/>
        <w:right w:val="none" w:sz="0" w:space="0" w:color="auto"/>
      </w:divBdr>
      <w:divsChild>
        <w:div w:id="266431883">
          <w:marLeft w:val="1152"/>
          <w:marRight w:val="0"/>
          <w:marTop w:val="0"/>
          <w:marBottom w:val="0"/>
          <w:divBdr>
            <w:top w:val="none" w:sz="0" w:space="0" w:color="auto"/>
            <w:left w:val="none" w:sz="0" w:space="0" w:color="auto"/>
            <w:bottom w:val="none" w:sz="0" w:space="0" w:color="auto"/>
            <w:right w:val="none" w:sz="0" w:space="0" w:color="auto"/>
          </w:divBdr>
          <w:divsChild>
            <w:div w:id="5255320">
              <w:marLeft w:val="864"/>
              <w:marRight w:val="0"/>
              <w:marTop w:val="0"/>
              <w:marBottom w:val="0"/>
              <w:divBdr>
                <w:top w:val="none" w:sz="0" w:space="0" w:color="auto"/>
                <w:left w:val="none" w:sz="0" w:space="0" w:color="auto"/>
                <w:bottom w:val="none" w:sz="0" w:space="0" w:color="auto"/>
                <w:right w:val="none" w:sz="0" w:space="0" w:color="auto"/>
              </w:divBdr>
            </w:div>
            <w:div w:id="284778539">
              <w:marLeft w:val="576"/>
              <w:marRight w:val="0"/>
              <w:marTop w:val="0"/>
              <w:marBottom w:val="0"/>
              <w:divBdr>
                <w:top w:val="none" w:sz="0" w:space="0" w:color="auto"/>
                <w:left w:val="none" w:sz="0" w:space="0" w:color="auto"/>
                <w:bottom w:val="none" w:sz="0" w:space="0" w:color="auto"/>
                <w:right w:val="none" w:sz="0" w:space="0" w:color="auto"/>
              </w:divBdr>
            </w:div>
            <w:div w:id="299118967">
              <w:marLeft w:val="864"/>
              <w:marRight w:val="0"/>
              <w:marTop w:val="0"/>
              <w:marBottom w:val="0"/>
              <w:divBdr>
                <w:top w:val="none" w:sz="0" w:space="0" w:color="auto"/>
                <w:left w:val="none" w:sz="0" w:space="0" w:color="auto"/>
                <w:bottom w:val="none" w:sz="0" w:space="0" w:color="auto"/>
                <w:right w:val="none" w:sz="0" w:space="0" w:color="auto"/>
              </w:divBdr>
            </w:div>
            <w:div w:id="544369055">
              <w:marLeft w:val="576"/>
              <w:marRight w:val="0"/>
              <w:marTop w:val="0"/>
              <w:marBottom w:val="0"/>
              <w:divBdr>
                <w:top w:val="none" w:sz="0" w:space="0" w:color="auto"/>
                <w:left w:val="none" w:sz="0" w:space="0" w:color="auto"/>
                <w:bottom w:val="none" w:sz="0" w:space="0" w:color="auto"/>
                <w:right w:val="none" w:sz="0" w:space="0" w:color="auto"/>
              </w:divBdr>
            </w:div>
            <w:div w:id="979770911">
              <w:marLeft w:val="864"/>
              <w:marRight w:val="0"/>
              <w:marTop w:val="0"/>
              <w:marBottom w:val="0"/>
              <w:divBdr>
                <w:top w:val="none" w:sz="0" w:space="0" w:color="auto"/>
                <w:left w:val="none" w:sz="0" w:space="0" w:color="auto"/>
                <w:bottom w:val="none" w:sz="0" w:space="0" w:color="auto"/>
                <w:right w:val="none" w:sz="0" w:space="0" w:color="auto"/>
              </w:divBdr>
            </w:div>
            <w:div w:id="1026759968">
              <w:marLeft w:val="0"/>
              <w:marRight w:val="0"/>
              <w:marTop w:val="0"/>
              <w:marBottom w:val="0"/>
              <w:divBdr>
                <w:top w:val="none" w:sz="0" w:space="0" w:color="auto"/>
                <w:left w:val="none" w:sz="0" w:space="0" w:color="auto"/>
                <w:bottom w:val="none" w:sz="0" w:space="0" w:color="auto"/>
                <w:right w:val="none" w:sz="0" w:space="0" w:color="auto"/>
              </w:divBdr>
            </w:div>
            <w:div w:id="1191651708">
              <w:marLeft w:val="864"/>
              <w:marRight w:val="0"/>
              <w:marTop w:val="0"/>
              <w:marBottom w:val="0"/>
              <w:divBdr>
                <w:top w:val="none" w:sz="0" w:space="0" w:color="auto"/>
                <w:left w:val="none" w:sz="0" w:space="0" w:color="auto"/>
                <w:bottom w:val="none" w:sz="0" w:space="0" w:color="auto"/>
                <w:right w:val="none" w:sz="0" w:space="0" w:color="auto"/>
              </w:divBdr>
            </w:div>
            <w:div w:id="1569220008">
              <w:marLeft w:val="864"/>
              <w:marRight w:val="0"/>
              <w:marTop w:val="0"/>
              <w:marBottom w:val="0"/>
              <w:divBdr>
                <w:top w:val="none" w:sz="0" w:space="0" w:color="auto"/>
                <w:left w:val="none" w:sz="0" w:space="0" w:color="auto"/>
                <w:bottom w:val="none" w:sz="0" w:space="0" w:color="auto"/>
                <w:right w:val="none" w:sz="0" w:space="0" w:color="auto"/>
              </w:divBdr>
            </w:div>
            <w:div w:id="1721443296">
              <w:marLeft w:val="576"/>
              <w:marRight w:val="0"/>
              <w:marTop w:val="0"/>
              <w:marBottom w:val="0"/>
              <w:divBdr>
                <w:top w:val="none" w:sz="0" w:space="0" w:color="auto"/>
                <w:left w:val="none" w:sz="0" w:space="0" w:color="auto"/>
                <w:bottom w:val="none" w:sz="0" w:space="0" w:color="auto"/>
                <w:right w:val="none" w:sz="0" w:space="0" w:color="auto"/>
              </w:divBdr>
            </w:div>
            <w:div w:id="1913008208">
              <w:marLeft w:val="864"/>
              <w:marRight w:val="0"/>
              <w:marTop w:val="0"/>
              <w:marBottom w:val="0"/>
              <w:divBdr>
                <w:top w:val="none" w:sz="0" w:space="0" w:color="auto"/>
                <w:left w:val="none" w:sz="0" w:space="0" w:color="auto"/>
                <w:bottom w:val="none" w:sz="0" w:space="0" w:color="auto"/>
                <w:right w:val="none" w:sz="0" w:space="0" w:color="auto"/>
              </w:divBdr>
            </w:div>
          </w:divsChild>
        </w:div>
        <w:div w:id="1233200302">
          <w:marLeft w:val="1440"/>
          <w:marRight w:val="0"/>
          <w:marTop w:val="0"/>
          <w:marBottom w:val="0"/>
          <w:divBdr>
            <w:top w:val="none" w:sz="0" w:space="0" w:color="auto"/>
            <w:left w:val="none" w:sz="0" w:space="0" w:color="auto"/>
            <w:bottom w:val="none" w:sz="0" w:space="0" w:color="auto"/>
            <w:right w:val="none" w:sz="0" w:space="0" w:color="auto"/>
          </w:divBdr>
          <w:divsChild>
            <w:div w:id="266616611">
              <w:marLeft w:val="576"/>
              <w:marRight w:val="0"/>
              <w:marTop w:val="0"/>
              <w:marBottom w:val="0"/>
              <w:divBdr>
                <w:top w:val="none" w:sz="0" w:space="0" w:color="auto"/>
                <w:left w:val="none" w:sz="0" w:space="0" w:color="auto"/>
                <w:bottom w:val="none" w:sz="0" w:space="0" w:color="auto"/>
                <w:right w:val="none" w:sz="0" w:space="0" w:color="auto"/>
              </w:divBdr>
            </w:div>
            <w:div w:id="401492944">
              <w:marLeft w:val="0"/>
              <w:marRight w:val="0"/>
              <w:marTop w:val="0"/>
              <w:marBottom w:val="0"/>
              <w:divBdr>
                <w:top w:val="none" w:sz="0" w:space="0" w:color="auto"/>
                <w:left w:val="none" w:sz="0" w:space="0" w:color="auto"/>
                <w:bottom w:val="none" w:sz="0" w:space="0" w:color="auto"/>
                <w:right w:val="none" w:sz="0" w:space="0" w:color="auto"/>
              </w:divBdr>
            </w:div>
            <w:div w:id="2001956942">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638145680">
      <w:bodyDiv w:val="1"/>
      <w:marLeft w:val="0"/>
      <w:marRight w:val="0"/>
      <w:marTop w:val="0"/>
      <w:marBottom w:val="0"/>
      <w:divBdr>
        <w:top w:val="none" w:sz="0" w:space="0" w:color="auto"/>
        <w:left w:val="none" w:sz="0" w:space="0" w:color="auto"/>
        <w:bottom w:val="none" w:sz="0" w:space="0" w:color="auto"/>
        <w:right w:val="none" w:sz="0" w:space="0" w:color="auto"/>
      </w:divBdr>
    </w:div>
    <w:div w:id="673146717">
      <w:bodyDiv w:val="1"/>
      <w:marLeft w:val="0"/>
      <w:marRight w:val="0"/>
      <w:marTop w:val="0"/>
      <w:marBottom w:val="0"/>
      <w:divBdr>
        <w:top w:val="none" w:sz="0" w:space="0" w:color="auto"/>
        <w:left w:val="none" w:sz="0" w:space="0" w:color="auto"/>
        <w:bottom w:val="none" w:sz="0" w:space="0" w:color="auto"/>
        <w:right w:val="none" w:sz="0" w:space="0" w:color="auto"/>
      </w:divBdr>
      <w:divsChild>
        <w:div w:id="1691838626">
          <w:marLeft w:val="3450"/>
          <w:marRight w:val="150"/>
          <w:marTop w:val="0"/>
          <w:marBottom w:val="0"/>
          <w:divBdr>
            <w:top w:val="none" w:sz="0" w:space="0" w:color="auto"/>
            <w:left w:val="none" w:sz="0" w:space="0" w:color="auto"/>
            <w:bottom w:val="none" w:sz="0" w:space="0" w:color="auto"/>
            <w:right w:val="none" w:sz="0" w:space="0" w:color="auto"/>
          </w:divBdr>
          <w:divsChild>
            <w:div w:id="85611652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91807656">
      <w:bodyDiv w:val="1"/>
      <w:marLeft w:val="0"/>
      <w:marRight w:val="0"/>
      <w:marTop w:val="0"/>
      <w:marBottom w:val="0"/>
      <w:divBdr>
        <w:top w:val="none" w:sz="0" w:space="0" w:color="auto"/>
        <w:left w:val="none" w:sz="0" w:space="0" w:color="auto"/>
        <w:bottom w:val="none" w:sz="0" w:space="0" w:color="auto"/>
        <w:right w:val="none" w:sz="0" w:space="0" w:color="auto"/>
      </w:divBdr>
      <w:divsChild>
        <w:div w:id="373046427">
          <w:marLeft w:val="3450"/>
          <w:marRight w:val="150"/>
          <w:marTop w:val="0"/>
          <w:marBottom w:val="0"/>
          <w:divBdr>
            <w:top w:val="none" w:sz="0" w:space="0" w:color="auto"/>
            <w:left w:val="none" w:sz="0" w:space="0" w:color="auto"/>
            <w:bottom w:val="none" w:sz="0" w:space="0" w:color="auto"/>
            <w:right w:val="none" w:sz="0" w:space="0" w:color="auto"/>
          </w:divBdr>
          <w:divsChild>
            <w:div w:id="846159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12654856">
      <w:bodyDiv w:val="1"/>
      <w:marLeft w:val="0"/>
      <w:marRight w:val="0"/>
      <w:marTop w:val="0"/>
      <w:marBottom w:val="0"/>
      <w:divBdr>
        <w:top w:val="none" w:sz="0" w:space="0" w:color="auto"/>
        <w:left w:val="none" w:sz="0" w:space="0" w:color="auto"/>
        <w:bottom w:val="none" w:sz="0" w:space="0" w:color="auto"/>
        <w:right w:val="none" w:sz="0" w:space="0" w:color="auto"/>
      </w:divBdr>
      <w:divsChild>
        <w:div w:id="1194344090">
          <w:marLeft w:val="3450"/>
          <w:marRight w:val="150"/>
          <w:marTop w:val="0"/>
          <w:marBottom w:val="0"/>
          <w:divBdr>
            <w:top w:val="none" w:sz="0" w:space="0" w:color="auto"/>
            <w:left w:val="none" w:sz="0" w:space="0" w:color="auto"/>
            <w:bottom w:val="none" w:sz="0" w:space="0" w:color="auto"/>
            <w:right w:val="none" w:sz="0" w:space="0" w:color="auto"/>
          </w:divBdr>
          <w:divsChild>
            <w:div w:id="9520505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14545816">
      <w:bodyDiv w:val="1"/>
      <w:marLeft w:val="0"/>
      <w:marRight w:val="0"/>
      <w:marTop w:val="0"/>
      <w:marBottom w:val="0"/>
      <w:divBdr>
        <w:top w:val="none" w:sz="0" w:space="0" w:color="auto"/>
        <w:left w:val="none" w:sz="0" w:space="0" w:color="auto"/>
        <w:bottom w:val="none" w:sz="0" w:space="0" w:color="auto"/>
        <w:right w:val="none" w:sz="0" w:space="0" w:color="auto"/>
      </w:divBdr>
      <w:divsChild>
        <w:div w:id="149099876">
          <w:marLeft w:val="0"/>
          <w:marRight w:val="0"/>
          <w:marTop w:val="60"/>
          <w:marBottom w:val="105"/>
          <w:divBdr>
            <w:top w:val="none" w:sz="0" w:space="0" w:color="auto"/>
            <w:left w:val="none" w:sz="0" w:space="0" w:color="auto"/>
            <w:bottom w:val="none" w:sz="0" w:space="0" w:color="auto"/>
            <w:right w:val="none" w:sz="0" w:space="0" w:color="auto"/>
          </w:divBdr>
          <w:divsChild>
            <w:div w:id="490680567">
              <w:marLeft w:val="0"/>
              <w:marRight w:val="0"/>
              <w:marTop w:val="0"/>
              <w:marBottom w:val="0"/>
              <w:divBdr>
                <w:top w:val="none" w:sz="0" w:space="0" w:color="auto"/>
                <w:left w:val="none" w:sz="0" w:space="0" w:color="auto"/>
                <w:bottom w:val="none" w:sz="0" w:space="0" w:color="auto"/>
                <w:right w:val="none" w:sz="0" w:space="0" w:color="auto"/>
              </w:divBdr>
              <w:divsChild>
                <w:div w:id="109905497">
                  <w:marLeft w:val="0"/>
                  <w:marRight w:val="0"/>
                  <w:marTop w:val="0"/>
                  <w:marBottom w:val="0"/>
                  <w:divBdr>
                    <w:top w:val="none" w:sz="0" w:space="0" w:color="auto"/>
                    <w:left w:val="none" w:sz="0" w:space="0" w:color="auto"/>
                    <w:bottom w:val="none" w:sz="0" w:space="0" w:color="auto"/>
                    <w:right w:val="none" w:sz="0" w:space="0" w:color="auto"/>
                  </w:divBdr>
                  <w:divsChild>
                    <w:div w:id="239483354">
                      <w:marLeft w:val="0"/>
                      <w:marRight w:val="0"/>
                      <w:marTop w:val="0"/>
                      <w:marBottom w:val="0"/>
                      <w:divBdr>
                        <w:top w:val="none" w:sz="0" w:space="0" w:color="auto"/>
                        <w:left w:val="none" w:sz="0" w:space="0" w:color="auto"/>
                        <w:bottom w:val="none" w:sz="0" w:space="0" w:color="auto"/>
                        <w:right w:val="none" w:sz="0" w:space="0" w:color="auto"/>
                      </w:divBdr>
                      <w:divsChild>
                        <w:div w:id="21042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905">
      <w:bodyDiv w:val="1"/>
      <w:marLeft w:val="0"/>
      <w:marRight w:val="0"/>
      <w:marTop w:val="0"/>
      <w:marBottom w:val="0"/>
      <w:divBdr>
        <w:top w:val="none" w:sz="0" w:space="0" w:color="auto"/>
        <w:left w:val="none" w:sz="0" w:space="0" w:color="auto"/>
        <w:bottom w:val="none" w:sz="0" w:space="0" w:color="auto"/>
        <w:right w:val="none" w:sz="0" w:space="0" w:color="auto"/>
      </w:divBdr>
      <w:divsChild>
        <w:div w:id="1067649086">
          <w:marLeft w:val="3450"/>
          <w:marRight w:val="150"/>
          <w:marTop w:val="0"/>
          <w:marBottom w:val="0"/>
          <w:divBdr>
            <w:top w:val="none" w:sz="0" w:space="0" w:color="auto"/>
            <w:left w:val="none" w:sz="0" w:space="0" w:color="auto"/>
            <w:bottom w:val="none" w:sz="0" w:space="0" w:color="auto"/>
            <w:right w:val="none" w:sz="0" w:space="0" w:color="auto"/>
          </w:divBdr>
          <w:divsChild>
            <w:div w:id="28508536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22482318">
      <w:bodyDiv w:val="1"/>
      <w:marLeft w:val="0"/>
      <w:marRight w:val="0"/>
      <w:marTop w:val="0"/>
      <w:marBottom w:val="0"/>
      <w:divBdr>
        <w:top w:val="none" w:sz="0" w:space="0" w:color="auto"/>
        <w:left w:val="none" w:sz="0" w:space="0" w:color="auto"/>
        <w:bottom w:val="none" w:sz="0" w:space="0" w:color="auto"/>
        <w:right w:val="none" w:sz="0" w:space="0" w:color="auto"/>
      </w:divBdr>
      <w:divsChild>
        <w:div w:id="521210845">
          <w:marLeft w:val="3450"/>
          <w:marRight w:val="150"/>
          <w:marTop w:val="0"/>
          <w:marBottom w:val="0"/>
          <w:divBdr>
            <w:top w:val="none" w:sz="0" w:space="0" w:color="auto"/>
            <w:left w:val="none" w:sz="0" w:space="0" w:color="auto"/>
            <w:bottom w:val="none" w:sz="0" w:space="0" w:color="auto"/>
            <w:right w:val="none" w:sz="0" w:space="0" w:color="auto"/>
          </w:divBdr>
          <w:divsChild>
            <w:div w:id="13155620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27608440">
      <w:bodyDiv w:val="1"/>
      <w:marLeft w:val="0"/>
      <w:marRight w:val="0"/>
      <w:marTop w:val="0"/>
      <w:marBottom w:val="0"/>
      <w:divBdr>
        <w:top w:val="none" w:sz="0" w:space="0" w:color="auto"/>
        <w:left w:val="none" w:sz="0" w:space="0" w:color="auto"/>
        <w:bottom w:val="none" w:sz="0" w:space="0" w:color="auto"/>
        <w:right w:val="none" w:sz="0" w:space="0" w:color="auto"/>
      </w:divBdr>
    </w:div>
    <w:div w:id="735712242">
      <w:bodyDiv w:val="1"/>
      <w:marLeft w:val="0"/>
      <w:marRight w:val="0"/>
      <w:marTop w:val="0"/>
      <w:marBottom w:val="0"/>
      <w:divBdr>
        <w:top w:val="none" w:sz="0" w:space="0" w:color="auto"/>
        <w:left w:val="none" w:sz="0" w:space="0" w:color="auto"/>
        <w:bottom w:val="none" w:sz="0" w:space="0" w:color="auto"/>
        <w:right w:val="none" w:sz="0" w:space="0" w:color="auto"/>
      </w:divBdr>
      <w:divsChild>
        <w:div w:id="1466510547">
          <w:marLeft w:val="0"/>
          <w:marRight w:val="0"/>
          <w:marTop w:val="180"/>
          <w:marBottom w:val="0"/>
          <w:divBdr>
            <w:top w:val="none" w:sz="0" w:space="0" w:color="auto"/>
            <w:left w:val="none" w:sz="0" w:space="0" w:color="auto"/>
            <w:bottom w:val="none" w:sz="0" w:space="0" w:color="auto"/>
            <w:right w:val="none" w:sz="0" w:space="0" w:color="auto"/>
          </w:divBdr>
          <w:divsChild>
            <w:div w:id="62071682">
              <w:marLeft w:val="0"/>
              <w:marRight w:val="0"/>
              <w:marTop w:val="0"/>
              <w:marBottom w:val="0"/>
              <w:divBdr>
                <w:top w:val="none" w:sz="0" w:space="0" w:color="auto"/>
                <w:left w:val="none" w:sz="0" w:space="0" w:color="auto"/>
                <w:bottom w:val="none" w:sz="0" w:space="0" w:color="auto"/>
                <w:right w:val="none" w:sz="0" w:space="0" w:color="auto"/>
              </w:divBdr>
              <w:divsChild>
                <w:div w:id="522600155">
                  <w:marLeft w:val="1410"/>
                  <w:marRight w:val="0"/>
                  <w:marTop w:val="0"/>
                  <w:marBottom w:val="0"/>
                  <w:divBdr>
                    <w:top w:val="none" w:sz="0" w:space="0" w:color="auto"/>
                    <w:left w:val="none" w:sz="0" w:space="0" w:color="auto"/>
                    <w:bottom w:val="none" w:sz="0" w:space="0" w:color="auto"/>
                    <w:right w:val="none" w:sz="0" w:space="0" w:color="auto"/>
                  </w:divBdr>
                  <w:divsChild>
                    <w:div w:id="13572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218648">
      <w:bodyDiv w:val="1"/>
      <w:marLeft w:val="0"/>
      <w:marRight w:val="0"/>
      <w:marTop w:val="100"/>
      <w:marBottom w:val="100"/>
      <w:divBdr>
        <w:top w:val="none" w:sz="0" w:space="0" w:color="auto"/>
        <w:left w:val="none" w:sz="0" w:space="0" w:color="auto"/>
        <w:bottom w:val="none" w:sz="0" w:space="0" w:color="auto"/>
        <w:right w:val="none" w:sz="0" w:space="0" w:color="auto"/>
      </w:divBdr>
    </w:div>
    <w:div w:id="786629442">
      <w:bodyDiv w:val="1"/>
      <w:marLeft w:val="0"/>
      <w:marRight w:val="0"/>
      <w:marTop w:val="0"/>
      <w:marBottom w:val="0"/>
      <w:divBdr>
        <w:top w:val="none" w:sz="0" w:space="0" w:color="auto"/>
        <w:left w:val="none" w:sz="0" w:space="0" w:color="auto"/>
        <w:bottom w:val="none" w:sz="0" w:space="0" w:color="auto"/>
        <w:right w:val="none" w:sz="0" w:space="0" w:color="auto"/>
      </w:divBdr>
      <w:divsChild>
        <w:div w:id="929199137">
          <w:marLeft w:val="0"/>
          <w:marRight w:val="0"/>
          <w:marTop w:val="180"/>
          <w:marBottom w:val="0"/>
          <w:divBdr>
            <w:top w:val="none" w:sz="0" w:space="0" w:color="auto"/>
            <w:left w:val="none" w:sz="0" w:space="0" w:color="auto"/>
            <w:bottom w:val="none" w:sz="0" w:space="0" w:color="auto"/>
            <w:right w:val="none" w:sz="0" w:space="0" w:color="auto"/>
          </w:divBdr>
          <w:divsChild>
            <w:div w:id="1432242239">
              <w:marLeft w:val="0"/>
              <w:marRight w:val="0"/>
              <w:marTop w:val="0"/>
              <w:marBottom w:val="0"/>
              <w:divBdr>
                <w:top w:val="none" w:sz="0" w:space="0" w:color="auto"/>
                <w:left w:val="none" w:sz="0" w:space="0" w:color="auto"/>
                <w:bottom w:val="none" w:sz="0" w:space="0" w:color="auto"/>
                <w:right w:val="none" w:sz="0" w:space="0" w:color="auto"/>
              </w:divBdr>
              <w:divsChild>
                <w:div w:id="1629167263">
                  <w:marLeft w:val="1410"/>
                  <w:marRight w:val="0"/>
                  <w:marTop w:val="0"/>
                  <w:marBottom w:val="0"/>
                  <w:divBdr>
                    <w:top w:val="none" w:sz="0" w:space="0" w:color="auto"/>
                    <w:left w:val="none" w:sz="0" w:space="0" w:color="auto"/>
                    <w:bottom w:val="none" w:sz="0" w:space="0" w:color="auto"/>
                    <w:right w:val="none" w:sz="0" w:space="0" w:color="auto"/>
                  </w:divBdr>
                  <w:divsChild>
                    <w:div w:id="1445214">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401678">
      <w:bodyDiv w:val="1"/>
      <w:marLeft w:val="0"/>
      <w:marRight w:val="0"/>
      <w:marTop w:val="0"/>
      <w:marBottom w:val="0"/>
      <w:divBdr>
        <w:top w:val="none" w:sz="0" w:space="0" w:color="auto"/>
        <w:left w:val="none" w:sz="0" w:space="0" w:color="auto"/>
        <w:bottom w:val="none" w:sz="0" w:space="0" w:color="auto"/>
        <w:right w:val="none" w:sz="0" w:space="0" w:color="auto"/>
      </w:divBdr>
      <w:divsChild>
        <w:div w:id="1492060242">
          <w:marLeft w:val="0"/>
          <w:marRight w:val="0"/>
          <w:marTop w:val="60"/>
          <w:marBottom w:val="105"/>
          <w:divBdr>
            <w:top w:val="none" w:sz="0" w:space="0" w:color="auto"/>
            <w:left w:val="none" w:sz="0" w:space="0" w:color="auto"/>
            <w:bottom w:val="none" w:sz="0" w:space="0" w:color="auto"/>
            <w:right w:val="none" w:sz="0" w:space="0" w:color="auto"/>
          </w:divBdr>
          <w:divsChild>
            <w:div w:id="2057200646">
              <w:marLeft w:val="0"/>
              <w:marRight w:val="0"/>
              <w:marTop w:val="0"/>
              <w:marBottom w:val="0"/>
              <w:divBdr>
                <w:top w:val="none" w:sz="0" w:space="0" w:color="auto"/>
                <w:left w:val="none" w:sz="0" w:space="0" w:color="auto"/>
                <w:bottom w:val="none" w:sz="0" w:space="0" w:color="auto"/>
                <w:right w:val="none" w:sz="0" w:space="0" w:color="auto"/>
              </w:divBdr>
              <w:divsChild>
                <w:div w:id="1127162245">
                  <w:marLeft w:val="0"/>
                  <w:marRight w:val="0"/>
                  <w:marTop w:val="0"/>
                  <w:marBottom w:val="0"/>
                  <w:divBdr>
                    <w:top w:val="none" w:sz="0" w:space="0" w:color="auto"/>
                    <w:left w:val="none" w:sz="0" w:space="0" w:color="auto"/>
                    <w:bottom w:val="none" w:sz="0" w:space="0" w:color="auto"/>
                    <w:right w:val="none" w:sz="0" w:space="0" w:color="auto"/>
                  </w:divBdr>
                  <w:divsChild>
                    <w:div w:id="1986740307">
                      <w:marLeft w:val="0"/>
                      <w:marRight w:val="0"/>
                      <w:marTop w:val="0"/>
                      <w:marBottom w:val="0"/>
                      <w:divBdr>
                        <w:top w:val="none" w:sz="0" w:space="0" w:color="auto"/>
                        <w:left w:val="none" w:sz="0" w:space="0" w:color="auto"/>
                        <w:bottom w:val="none" w:sz="0" w:space="0" w:color="auto"/>
                        <w:right w:val="none" w:sz="0" w:space="0" w:color="auto"/>
                      </w:divBdr>
                      <w:divsChild>
                        <w:div w:id="15307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135961">
      <w:bodyDiv w:val="1"/>
      <w:marLeft w:val="0"/>
      <w:marRight w:val="0"/>
      <w:marTop w:val="0"/>
      <w:marBottom w:val="0"/>
      <w:divBdr>
        <w:top w:val="none" w:sz="0" w:space="0" w:color="auto"/>
        <w:left w:val="none" w:sz="0" w:space="0" w:color="auto"/>
        <w:bottom w:val="none" w:sz="0" w:space="0" w:color="auto"/>
        <w:right w:val="none" w:sz="0" w:space="0" w:color="auto"/>
      </w:divBdr>
      <w:divsChild>
        <w:div w:id="1051223260">
          <w:marLeft w:val="1440"/>
          <w:marRight w:val="0"/>
          <w:marTop w:val="0"/>
          <w:marBottom w:val="0"/>
          <w:divBdr>
            <w:top w:val="none" w:sz="0" w:space="0" w:color="auto"/>
            <w:left w:val="none" w:sz="0" w:space="0" w:color="auto"/>
            <w:bottom w:val="none" w:sz="0" w:space="0" w:color="auto"/>
            <w:right w:val="none" w:sz="0" w:space="0" w:color="auto"/>
          </w:divBdr>
          <w:divsChild>
            <w:div w:id="613362528">
              <w:marLeft w:val="0"/>
              <w:marRight w:val="0"/>
              <w:marTop w:val="0"/>
              <w:marBottom w:val="0"/>
              <w:divBdr>
                <w:top w:val="none" w:sz="0" w:space="0" w:color="auto"/>
                <w:left w:val="none" w:sz="0" w:space="0" w:color="auto"/>
                <w:bottom w:val="none" w:sz="0" w:space="0" w:color="auto"/>
                <w:right w:val="none" w:sz="0" w:space="0" w:color="auto"/>
              </w:divBdr>
            </w:div>
            <w:div w:id="681276017">
              <w:marLeft w:val="576"/>
              <w:marRight w:val="0"/>
              <w:marTop w:val="0"/>
              <w:marBottom w:val="0"/>
              <w:divBdr>
                <w:top w:val="none" w:sz="0" w:space="0" w:color="auto"/>
                <w:left w:val="none" w:sz="0" w:space="0" w:color="auto"/>
                <w:bottom w:val="none" w:sz="0" w:space="0" w:color="auto"/>
                <w:right w:val="none" w:sz="0" w:space="0" w:color="auto"/>
              </w:divBdr>
            </w:div>
            <w:div w:id="2069061443">
              <w:marLeft w:val="576"/>
              <w:marRight w:val="0"/>
              <w:marTop w:val="0"/>
              <w:marBottom w:val="0"/>
              <w:divBdr>
                <w:top w:val="none" w:sz="0" w:space="0" w:color="auto"/>
                <w:left w:val="none" w:sz="0" w:space="0" w:color="auto"/>
                <w:bottom w:val="none" w:sz="0" w:space="0" w:color="auto"/>
                <w:right w:val="none" w:sz="0" w:space="0" w:color="auto"/>
              </w:divBdr>
            </w:div>
          </w:divsChild>
        </w:div>
        <w:div w:id="1752581990">
          <w:marLeft w:val="1152"/>
          <w:marRight w:val="0"/>
          <w:marTop w:val="0"/>
          <w:marBottom w:val="0"/>
          <w:divBdr>
            <w:top w:val="none" w:sz="0" w:space="0" w:color="auto"/>
            <w:left w:val="none" w:sz="0" w:space="0" w:color="auto"/>
            <w:bottom w:val="none" w:sz="0" w:space="0" w:color="auto"/>
            <w:right w:val="none" w:sz="0" w:space="0" w:color="auto"/>
          </w:divBdr>
          <w:divsChild>
            <w:div w:id="4867347">
              <w:marLeft w:val="864"/>
              <w:marRight w:val="0"/>
              <w:marTop w:val="0"/>
              <w:marBottom w:val="0"/>
              <w:divBdr>
                <w:top w:val="none" w:sz="0" w:space="0" w:color="auto"/>
                <w:left w:val="none" w:sz="0" w:space="0" w:color="auto"/>
                <w:bottom w:val="none" w:sz="0" w:space="0" w:color="auto"/>
                <w:right w:val="none" w:sz="0" w:space="0" w:color="auto"/>
              </w:divBdr>
            </w:div>
            <w:div w:id="355499028">
              <w:marLeft w:val="864"/>
              <w:marRight w:val="0"/>
              <w:marTop w:val="0"/>
              <w:marBottom w:val="0"/>
              <w:divBdr>
                <w:top w:val="none" w:sz="0" w:space="0" w:color="auto"/>
                <w:left w:val="none" w:sz="0" w:space="0" w:color="auto"/>
                <w:bottom w:val="none" w:sz="0" w:space="0" w:color="auto"/>
                <w:right w:val="none" w:sz="0" w:space="0" w:color="auto"/>
              </w:divBdr>
            </w:div>
            <w:div w:id="890460236">
              <w:marLeft w:val="576"/>
              <w:marRight w:val="0"/>
              <w:marTop w:val="0"/>
              <w:marBottom w:val="0"/>
              <w:divBdr>
                <w:top w:val="none" w:sz="0" w:space="0" w:color="auto"/>
                <w:left w:val="none" w:sz="0" w:space="0" w:color="auto"/>
                <w:bottom w:val="none" w:sz="0" w:space="0" w:color="auto"/>
                <w:right w:val="none" w:sz="0" w:space="0" w:color="auto"/>
              </w:divBdr>
            </w:div>
            <w:div w:id="1134175457">
              <w:marLeft w:val="864"/>
              <w:marRight w:val="0"/>
              <w:marTop w:val="0"/>
              <w:marBottom w:val="0"/>
              <w:divBdr>
                <w:top w:val="none" w:sz="0" w:space="0" w:color="auto"/>
                <w:left w:val="none" w:sz="0" w:space="0" w:color="auto"/>
                <w:bottom w:val="none" w:sz="0" w:space="0" w:color="auto"/>
                <w:right w:val="none" w:sz="0" w:space="0" w:color="auto"/>
              </w:divBdr>
            </w:div>
            <w:div w:id="1142236872">
              <w:marLeft w:val="864"/>
              <w:marRight w:val="0"/>
              <w:marTop w:val="0"/>
              <w:marBottom w:val="0"/>
              <w:divBdr>
                <w:top w:val="none" w:sz="0" w:space="0" w:color="auto"/>
                <w:left w:val="none" w:sz="0" w:space="0" w:color="auto"/>
                <w:bottom w:val="none" w:sz="0" w:space="0" w:color="auto"/>
                <w:right w:val="none" w:sz="0" w:space="0" w:color="auto"/>
              </w:divBdr>
            </w:div>
            <w:div w:id="1655138794">
              <w:marLeft w:val="864"/>
              <w:marRight w:val="0"/>
              <w:marTop w:val="0"/>
              <w:marBottom w:val="0"/>
              <w:divBdr>
                <w:top w:val="none" w:sz="0" w:space="0" w:color="auto"/>
                <w:left w:val="none" w:sz="0" w:space="0" w:color="auto"/>
                <w:bottom w:val="none" w:sz="0" w:space="0" w:color="auto"/>
                <w:right w:val="none" w:sz="0" w:space="0" w:color="auto"/>
              </w:divBdr>
            </w:div>
            <w:div w:id="1811246850">
              <w:marLeft w:val="576"/>
              <w:marRight w:val="0"/>
              <w:marTop w:val="0"/>
              <w:marBottom w:val="0"/>
              <w:divBdr>
                <w:top w:val="none" w:sz="0" w:space="0" w:color="auto"/>
                <w:left w:val="none" w:sz="0" w:space="0" w:color="auto"/>
                <w:bottom w:val="none" w:sz="0" w:space="0" w:color="auto"/>
                <w:right w:val="none" w:sz="0" w:space="0" w:color="auto"/>
              </w:divBdr>
            </w:div>
            <w:div w:id="1822312362">
              <w:marLeft w:val="576"/>
              <w:marRight w:val="0"/>
              <w:marTop w:val="0"/>
              <w:marBottom w:val="0"/>
              <w:divBdr>
                <w:top w:val="none" w:sz="0" w:space="0" w:color="auto"/>
                <w:left w:val="none" w:sz="0" w:space="0" w:color="auto"/>
                <w:bottom w:val="none" w:sz="0" w:space="0" w:color="auto"/>
                <w:right w:val="none" w:sz="0" w:space="0" w:color="auto"/>
              </w:divBdr>
            </w:div>
            <w:div w:id="1853371612">
              <w:marLeft w:val="864"/>
              <w:marRight w:val="0"/>
              <w:marTop w:val="0"/>
              <w:marBottom w:val="0"/>
              <w:divBdr>
                <w:top w:val="none" w:sz="0" w:space="0" w:color="auto"/>
                <w:left w:val="none" w:sz="0" w:space="0" w:color="auto"/>
                <w:bottom w:val="none" w:sz="0" w:space="0" w:color="auto"/>
                <w:right w:val="none" w:sz="0" w:space="0" w:color="auto"/>
              </w:divBdr>
            </w:div>
            <w:div w:id="19944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9689">
      <w:bodyDiv w:val="1"/>
      <w:marLeft w:val="0"/>
      <w:marRight w:val="0"/>
      <w:marTop w:val="0"/>
      <w:marBottom w:val="0"/>
      <w:divBdr>
        <w:top w:val="none" w:sz="0" w:space="0" w:color="auto"/>
        <w:left w:val="none" w:sz="0" w:space="0" w:color="auto"/>
        <w:bottom w:val="none" w:sz="0" w:space="0" w:color="auto"/>
        <w:right w:val="none" w:sz="0" w:space="0" w:color="auto"/>
      </w:divBdr>
      <w:divsChild>
        <w:div w:id="1512333133">
          <w:marLeft w:val="3450"/>
          <w:marRight w:val="150"/>
          <w:marTop w:val="0"/>
          <w:marBottom w:val="0"/>
          <w:divBdr>
            <w:top w:val="none" w:sz="0" w:space="0" w:color="auto"/>
            <w:left w:val="none" w:sz="0" w:space="0" w:color="auto"/>
            <w:bottom w:val="none" w:sz="0" w:space="0" w:color="auto"/>
            <w:right w:val="none" w:sz="0" w:space="0" w:color="auto"/>
          </w:divBdr>
          <w:divsChild>
            <w:div w:id="142634023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12331931">
      <w:bodyDiv w:val="1"/>
      <w:marLeft w:val="0"/>
      <w:marRight w:val="0"/>
      <w:marTop w:val="0"/>
      <w:marBottom w:val="0"/>
      <w:divBdr>
        <w:top w:val="none" w:sz="0" w:space="0" w:color="auto"/>
        <w:left w:val="none" w:sz="0" w:space="0" w:color="auto"/>
        <w:bottom w:val="none" w:sz="0" w:space="0" w:color="auto"/>
        <w:right w:val="none" w:sz="0" w:space="0" w:color="auto"/>
      </w:divBdr>
      <w:divsChild>
        <w:div w:id="2049987951">
          <w:marLeft w:val="3450"/>
          <w:marRight w:val="150"/>
          <w:marTop w:val="0"/>
          <w:marBottom w:val="0"/>
          <w:divBdr>
            <w:top w:val="none" w:sz="0" w:space="0" w:color="auto"/>
            <w:left w:val="none" w:sz="0" w:space="0" w:color="auto"/>
            <w:bottom w:val="none" w:sz="0" w:space="0" w:color="auto"/>
            <w:right w:val="none" w:sz="0" w:space="0" w:color="auto"/>
          </w:divBdr>
          <w:divsChild>
            <w:div w:id="189118340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17116459">
      <w:bodyDiv w:val="1"/>
      <w:marLeft w:val="0"/>
      <w:marRight w:val="0"/>
      <w:marTop w:val="0"/>
      <w:marBottom w:val="0"/>
      <w:divBdr>
        <w:top w:val="none" w:sz="0" w:space="0" w:color="auto"/>
        <w:left w:val="none" w:sz="0" w:space="0" w:color="auto"/>
        <w:bottom w:val="none" w:sz="0" w:space="0" w:color="auto"/>
        <w:right w:val="none" w:sz="0" w:space="0" w:color="auto"/>
      </w:divBdr>
      <w:divsChild>
        <w:div w:id="1150681379">
          <w:marLeft w:val="3450"/>
          <w:marRight w:val="150"/>
          <w:marTop w:val="0"/>
          <w:marBottom w:val="0"/>
          <w:divBdr>
            <w:top w:val="none" w:sz="0" w:space="0" w:color="auto"/>
            <w:left w:val="none" w:sz="0" w:space="0" w:color="auto"/>
            <w:bottom w:val="none" w:sz="0" w:space="0" w:color="auto"/>
            <w:right w:val="none" w:sz="0" w:space="0" w:color="auto"/>
          </w:divBdr>
          <w:divsChild>
            <w:div w:id="6252356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31290799">
      <w:bodyDiv w:val="1"/>
      <w:marLeft w:val="0"/>
      <w:marRight w:val="0"/>
      <w:marTop w:val="0"/>
      <w:marBottom w:val="0"/>
      <w:divBdr>
        <w:top w:val="none" w:sz="0" w:space="0" w:color="auto"/>
        <w:left w:val="none" w:sz="0" w:space="0" w:color="auto"/>
        <w:bottom w:val="none" w:sz="0" w:space="0" w:color="auto"/>
        <w:right w:val="none" w:sz="0" w:space="0" w:color="auto"/>
      </w:divBdr>
      <w:divsChild>
        <w:div w:id="2078475279">
          <w:marLeft w:val="0"/>
          <w:marRight w:val="0"/>
          <w:marTop w:val="60"/>
          <w:marBottom w:val="105"/>
          <w:divBdr>
            <w:top w:val="none" w:sz="0" w:space="0" w:color="auto"/>
            <w:left w:val="none" w:sz="0" w:space="0" w:color="auto"/>
            <w:bottom w:val="none" w:sz="0" w:space="0" w:color="auto"/>
            <w:right w:val="none" w:sz="0" w:space="0" w:color="auto"/>
          </w:divBdr>
          <w:divsChild>
            <w:div w:id="1274051843">
              <w:marLeft w:val="0"/>
              <w:marRight w:val="0"/>
              <w:marTop w:val="0"/>
              <w:marBottom w:val="0"/>
              <w:divBdr>
                <w:top w:val="none" w:sz="0" w:space="0" w:color="auto"/>
                <w:left w:val="none" w:sz="0" w:space="0" w:color="auto"/>
                <w:bottom w:val="none" w:sz="0" w:space="0" w:color="auto"/>
                <w:right w:val="none" w:sz="0" w:space="0" w:color="auto"/>
              </w:divBdr>
              <w:divsChild>
                <w:div w:id="297758833">
                  <w:marLeft w:val="0"/>
                  <w:marRight w:val="0"/>
                  <w:marTop w:val="0"/>
                  <w:marBottom w:val="0"/>
                  <w:divBdr>
                    <w:top w:val="none" w:sz="0" w:space="0" w:color="auto"/>
                    <w:left w:val="none" w:sz="0" w:space="0" w:color="auto"/>
                    <w:bottom w:val="none" w:sz="0" w:space="0" w:color="auto"/>
                    <w:right w:val="none" w:sz="0" w:space="0" w:color="auto"/>
                  </w:divBdr>
                  <w:divsChild>
                    <w:div w:id="413208591">
                      <w:marLeft w:val="0"/>
                      <w:marRight w:val="0"/>
                      <w:marTop w:val="0"/>
                      <w:marBottom w:val="0"/>
                      <w:divBdr>
                        <w:top w:val="none" w:sz="0" w:space="0" w:color="auto"/>
                        <w:left w:val="none" w:sz="0" w:space="0" w:color="auto"/>
                        <w:bottom w:val="none" w:sz="0" w:space="0" w:color="auto"/>
                        <w:right w:val="none" w:sz="0" w:space="0" w:color="auto"/>
                      </w:divBdr>
                      <w:divsChild>
                        <w:div w:id="85762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023401">
      <w:bodyDiv w:val="1"/>
      <w:marLeft w:val="0"/>
      <w:marRight w:val="0"/>
      <w:marTop w:val="0"/>
      <w:marBottom w:val="0"/>
      <w:divBdr>
        <w:top w:val="none" w:sz="0" w:space="0" w:color="auto"/>
        <w:left w:val="none" w:sz="0" w:space="0" w:color="auto"/>
        <w:bottom w:val="none" w:sz="0" w:space="0" w:color="auto"/>
        <w:right w:val="none" w:sz="0" w:space="0" w:color="auto"/>
      </w:divBdr>
      <w:divsChild>
        <w:div w:id="2019579134">
          <w:marLeft w:val="3450"/>
          <w:marRight w:val="150"/>
          <w:marTop w:val="0"/>
          <w:marBottom w:val="0"/>
          <w:divBdr>
            <w:top w:val="none" w:sz="0" w:space="0" w:color="auto"/>
            <w:left w:val="none" w:sz="0" w:space="0" w:color="auto"/>
            <w:bottom w:val="none" w:sz="0" w:space="0" w:color="auto"/>
            <w:right w:val="none" w:sz="0" w:space="0" w:color="auto"/>
          </w:divBdr>
          <w:divsChild>
            <w:div w:id="12006301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905991847">
      <w:bodyDiv w:val="1"/>
      <w:marLeft w:val="0"/>
      <w:marRight w:val="0"/>
      <w:marTop w:val="0"/>
      <w:marBottom w:val="0"/>
      <w:divBdr>
        <w:top w:val="none" w:sz="0" w:space="0" w:color="auto"/>
        <w:left w:val="none" w:sz="0" w:space="0" w:color="auto"/>
        <w:bottom w:val="none" w:sz="0" w:space="0" w:color="auto"/>
        <w:right w:val="none" w:sz="0" w:space="0" w:color="auto"/>
      </w:divBdr>
      <w:divsChild>
        <w:div w:id="1020859331">
          <w:marLeft w:val="1152"/>
          <w:marRight w:val="0"/>
          <w:marTop w:val="0"/>
          <w:marBottom w:val="0"/>
          <w:divBdr>
            <w:top w:val="none" w:sz="0" w:space="0" w:color="auto"/>
            <w:left w:val="none" w:sz="0" w:space="0" w:color="auto"/>
            <w:bottom w:val="none" w:sz="0" w:space="0" w:color="auto"/>
            <w:right w:val="none" w:sz="0" w:space="0" w:color="auto"/>
          </w:divBdr>
          <w:divsChild>
            <w:div w:id="699286915">
              <w:marLeft w:val="576"/>
              <w:marRight w:val="0"/>
              <w:marTop w:val="0"/>
              <w:marBottom w:val="0"/>
              <w:divBdr>
                <w:top w:val="none" w:sz="0" w:space="0" w:color="auto"/>
                <w:left w:val="none" w:sz="0" w:space="0" w:color="auto"/>
                <w:bottom w:val="none" w:sz="0" w:space="0" w:color="auto"/>
                <w:right w:val="none" w:sz="0" w:space="0" w:color="auto"/>
              </w:divBdr>
            </w:div>
            <w:div w:id="1973441630">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945310917">
      <w:bodyDiv w:val="1"/>
      <w:marLeft w:val="0"/>
      <w:marRight w:val="0"/>
      <w:marTop w:val="0"/>
      <w:marBottom w:val="0"/>
      <w:divBdr>
        <w:top w:val="none" w:sz="0" w:space="0" w:color="auto"/>
        <w:left w:val="none" w:sz="0" w:space="0" w:color="auto"/>
        <w:bottom w:val="none" w:sz="0" w:space="0" w:color="auto"/>
        <w:right w:val="none" w:sz="0" w:space="0" w:color="auto"/>
      </w:divBdr>
      <w:divsChild>
        <w:div w:id="18706398">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951589252">
      <w:bodyDiv w:val="1"/>
      <w:marLeft w:val="0"/>
      <w:marRight w:val="0"/>
      <w:marTop w:val="0"/>
      <w:marBottom w:val="0"/>
      <w:divBdr>
        <w:top w:val="none" w:sz="0" w:space="0" w:color="auto"/>
        <w:left w:val="none" w:sz="0" w:space="0" w:color="auto"/>
        <w:bottom w:val="none" w:sz="0" w:space="0" w:color="auto"/>
        <w:right w:val="none" w:sz="0" w:space="0" w:color="auto"/>
      </w:divBdr>
      <w:divsChild>
        <w:div w:id="1246233058">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985203611">
      <w:bodyDiv w:val="1"/>
      <w:marLeft w:val="0"/>
      <w:marRight w:val="0"/>
      <w:marTop w:val="0"/>
      <w:marBottom w:val="0"/>
      <w:divBdr>
        <w:top w:val="none" w:sz="0" w:space="0" w:color="auto"/>
        <w:left w:val="none" w:sz="0" w:space="0" w:color="auto"/>
        <w:bottom w:val="none" w:sz="0" w:space="0" w:color="auto"/>
        <w:right w:val="none" w:sz="0" w:space="0" w:color="auto"/>
      </w:divBdr>
      <w:divsChild>
        <w:div w:id="1001930858">
          <w:marLeft w:val="0"/>
          <w:marRight w:val="0"/>
          <w:marTop w:val="0"/>
          <w:marBottom w:val="0"/>
          <w:divBdr>
            <w:top w:val="none" w:sz="0" w:space="0" w:color="auto"/>
            <w:left w:val="none" w:sz="0" w:space="0" w:color="auto"/>
            <w:bottom w:val="none" w:sz="0" w:space="0" w:color="auto"/>
            <w:right w:val="none" w:sz="0" w:space="0" w:color="auto"/>
          </w:divBdr>
          <w:divsChild>
            <w:div w:id="1273901905">
              <w:marLeft w:val="0"/>
              <w:marRight w:val="0"/>
              <w:marTop w:val="0"/>
              <w:marBottom w:val="0"/>
              <w:divBdr>
                <w:top w:val="none" w:sz="0" w:space="0" w:color="auto"/>
                <w:left w:val="none" w:sz="0" w:space="0" w:color="auto"/>
                <w:bottom w:val="none" w:sz="0" w:space="0" w:color="auto"/>
                <w:right w:val="none" w:sz="0" w:space="0" w:color="auto"/>
              </w:divBdr>
              <w:divsChild>
                <w:div w:id="392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52267">
      <w:bodyDiv w:val="1"/>
      <w:marLeft w:val="0"/>
      <w:marRight w:val="0"/>
      <w:marTop w:val="0"/>
      <w:marBottom w:val="0"/>
      <w:divBdr>
        <w:top w:val="none" w:sz="0" w:space="0" w:color="auto"/>
        <w:left w:val="none" w:sz="0" w:space="0" w:color="auto"/>
        <w:bottom w:val="none" w:sz="0" w:space="0" w:color="auto"/>
        <w:right w:val="none" w:sz="0" w:space="0" w:color="auto"/>
      </w:divBdr>
      <w:divsChild>
        <w:div w:id="301813280">
          <w:marLeft w:val="0"/>
          <w:marRight w:val="0"/>
          <w:marTop w:val="60"/>
          <w:marBottom w:val="105"/>
          <w:divBdr>
            <w:top w:val="none" w:sz="0" w:space="0" w:color="auto"/>
            <w:left w:val="none" w:sz="0" w:space="0" w:color="auto"/>
            <w:bottom w:val="none" w:sz="0" w:space="0" w:color="auto"/>
            <w:right w:val="none" w:sz="0" w:space="0" w:color="auto"/>
          </w:divBdr>
          <w:divsChild>
            <w:div w:id="1909262213">
              <w:marLeft w:val="0"/>
              <w:marRight w:val="0"/>
              <w:marTop w:val="0"/>
              <w:marBottom w:val="0"/>
              <w:divBdr>
                <w:top w:val="none" w:sz="0" w:space="0" w:color="auto"/>
                <w:left w:val="none" w:sz="0" w:space="0" w:color="auto"/>
                <w:bottom w:val="none" w:sz="0" w:space="0" w:color="auto"/>
                <w:right w:val="none" w:sz="0" w:space="0" w:color="auto"/>
              </w:divBdr>
              <w:divsChild>
                <w:div w:id="1203637262">
                  <w:marLeft w:val="0"/>
                  <w:marRight w:val="0"/>
                  <w:marTop w:val="0"/>
                  <w:marBottom w:val="0"/>
                  <w:divBdr>
                    <w:top w:val="none" w:sz="0" w:space="0" w:color="auto"/>
                    <w:left w:val="none" w:sz="0" w:space="0" w:color="auto"/>
                    <w:bottom w:val="none" w:sz="0" w:space="0" w:color="auto"/>
                    <w:right w:val="none" w:sz="0" w:space="0" w:color="auto"/>
                  </w:divBdr>
                  <w:divsChild>
                    <w:div w:id="743062684">
                      <w:marLeft w:val="0"/>
                      <w:marRight w:val="0"/>
                      <w:marTop w:val="0"/>
                      <w:marBottom w:val="0"/>
                      <w:divBdr>
                        <w:top w:val="none" w:sz="0" w:space="0" w:color="auto"/>
                        <w:left w:val="none" w:sz="0" w:space="0" w:color="auto"/>
                        <w:bottom w:val="none" w:sz="0" w:space="0" w:color="auto"/>
                        <w:right w:val="none" w:sz="0" w:space="0" w:color="auto"/>
                      </w:divBdr>
                      <w:divsChild>
                        <w:div w:id="18746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357263">
      <w:bodyDiv w:val="1"/>
      <w:marLeft w:val="0"/>
      <w:marRight w:val="0"/>
      <w:marTop w:val="0"/>
      <w:marBottom w:val="0"/>
      <w:divBdr>
        <w:top w:val="none" w:sz="0" w:space="0" w:color="auto"/>
        <w:left w:val="none" w:sz="0" w:space="0" w:color="auto"/>
        <w:bottom w:val="none" w:sz="0" w:space="0" w:color="auto"/>
        <w:right w:val="none" w:sz="0" w:space="0" w:color="auto"/>
      </w:divBdr>
      <w:divsChild>
        <w:div w:id="1075783037">
          <w:marLeft w:val="0"/>
          <w:marRight w:val="0"/>
          <w:marTop w:val="180"/>
          <w:marBottom w:val="0"/>
          <w:divBdr>
            <w:top w:val="none" w:sz="0" w:space="0" w:color="auto"/>
            <w:left w:val="none" w:sz="0" w:space="0" w:color="auto"/>
            <w:bottom w:val="none" w:sz="0" w:space="0" w:color="auto"/>
            <w:right w:val="none" w:sz="0" w:space="0" w:color="auto"/>
          </w:divBdr>
          <w:divsChild>
            <w:div w:id="1774326123">
              <w:marLeft w:val="0"/>
              <w:marRight w:val="0"/>
              <w:marTop w:val="0"/>
              <w:marBottom w:val="0"/>
              <w:divBdr>
                <w:top w:val="none" w:sz="0" w:space="0" w:color="auto"/>
                <w:left w:val="none" w:sz="0" w:space="0" w:color="auto"/>
                <w:bottom w:val="none" w:sz="0" w:space="0" w:color="auto"/>
                <w:right w:val="none" w:sz="0" w:space="0" w:color="auto"/>
              </w:divBdr>
              <w:divsChild>
                <w:div w:id="1830168091">
                  <w:marLeft w:val="360"/>
                  <w:marRight w:val="0"/>
                  <w:marTop w:val="0"/>
                  <w:marBottom w:val="0"/>
                  <w:divBdr>
                    <w:top w:val="none" w:sz="0" w:space="0" w:color="auto"/>
                    <w:left w:val="none" w:sz="0" w:space="0" w:color="auto"/>
                    <w:bottom w:val="none" w:sz="0" w:space="0" w:color="auto"/>
                    <w:right w:val="none" w:sz="0" w:space="0" w:color="auto"/>
                  </w:divBdr>
                  <w:divsChild>
                    <w:div w:id="1119566418">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77224">
      <w:bodyDiv w:val="1"/>
      <w:marLeft w:val="0"/>
      <w:marRight w:val="0"/>
      <w:marTop w:val="0"/>
      <w:marBottom w:val="0"/>
      <w:divBdr>
        <w:top w:val="none" w:sz="0" w:space="0" w:color="auto"/>
        <w:left w:val="none" w:sz="0" w:space="0" w:color="auto"/>
        <w:bottom w:val="none" w:sz="0" w:space="0" w:color="auto"/>
        <w:right w:val="none" w:sz="0" w:space="0" w:color="auto"/>
      </w:divBdr>
    </w:div>
    <w:div w:id="1062366376">
      <w:bodyDiv w:val="1"/>
      <w:marLeft w:val="0"/>
      <w:marRight w:val="0"/>
      <w:marTop w:val="0"/>
      <w:marBottom w:val="0"/>
      <w:divBdr>
        <w:top w:val="none" w:sz="0" w:space="0" w:color="auto"/>
        <w:left w:val="none" w:sz="0" w:space="0" w:color="auto"/>
        <w:bottom w:val="none" w:sz="0" w:space="0" w:color="auto"/>
        <w:right w:val="none" w:sz="0" w:space="0" w:color="auto"/>
      </w:divBdr>
      <w:divsChild>
        <w:div w:id="1360468592">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069810889">
      <w:bodyDiv w:val="1"/>
      <w:marLeft w:val="0"/>
      <w:marRight w:val="0"/>
      <w:marTop w:val="0"/>
      <w:marBottom w:val="0"/>
      <w:divBdr>
        <w:top w:val="none" w:sz="0" w:space="0" w:color="auto"/>
        <w:left w:val="none" w:sz="0" w:space="0" w:color="auto"/>
        <w:bottom w:val="none" w:sz="0" w:space="0" w:color="auto"/>
        <w:right w:val="none" w:sz="0" w:space="0" w:color="auto"/>
      </w:divBdr>
    </w:div>
    <w:div w:id="1092237902">
      <w:bodyDiv w:val="1"/>
      <w:marLeft w:val="0"/>
      <w:marRight w:val="0"/>
      <w:marTop w:val="0"/>
      <w:marBottom w:val="0"/>
      <w:divBdr>
        <w:top w:val="none" w:sz="0" w:space="0" w:color="auto"/>
        <w:left w:val="none" w:sz="0" w:space="0" w:color="auto"/>
        <w:bottom w:val="none" w:sz="0" w:space="0" w:color="auto"/>
        <w:right w:val="none" w:sz="0" w:space="0" w:color="auto"/>
      </w:divBdr>
      <w:divsChild>
        <w:div w:id="818573705">
          <w:marLeft w:val="0"/>
          <w:marRight w:val="0"/>
          <w:marTop w:val="60"/>
          <w:marBottom w:val="105"/>
          <w:divBdr>
            <w:top w:val="none" w:sz="0" w:space="0" w:color="auto"/>
            <w:left w:val="none" w:sz="0" w:space="0" w:color="auto"/>
            <w:bottom w:val="none" w:sz="0" w:space="0" w:color="auto"/>
            <w:right w:val="none" w:sz="0" w:space="0" w:color="auto"/>
          </w:divBdr>
          <w:divsChild>
            <w:div w:id="105545001">
              <w:marLeft w:val="0"/>
              <w:marRight w:val="0"/>
              <w:marTop w:val="0"/>
              <w:marBottom w:val="0"/>
              <w:divBdr>
                <w:top w:val="none" w:sz="0" w:space="0" w:color="auto"/>
                <w:left w:val="none" w:sz="0" w:space="0" w:color="auto"/>
                <w:bottom w:val="none" w:sz="0" w:space="0" w:color="auto"/>
                <w:right w:val="none" w:sz="0" w:space="0" w:color="auto"/>
              </w:divBdr>
              <w:divsChild>
                <w:div w:id="1083257029">
                  <w:marLeft w:val="0"/>
                  <w:marRight w:val="0"/>
                  <w:marTop w:val="0"/>
                  <w:marBottom w:val="0"/>
                  <w:divBdr>
                    <w:top w:val="none" w:sz="0" w:space="0" w:color="auto"/>
                    <w:left w:val="none" w:sz="0" w:space="0" w:color="auto"/>
                    <w:bottom w:val="none" w:sz="0" w:space="0" w:color="auto"/>
                    <w:right w:val="none" w:sz="0" w:space="0" w:color="auto"/>
                  </w:divBdr>
                  <w:divsChild>
                    <w:div w:id="33584635">
                      <w:marLeft w:val="0"/>
                      <w:marRight w:val="0"/>
                      <w:marTop w:val="0"/>
                      <w:marBottom w:val="0"/>
                      <w:divBdr>
                        <w:top w:val="none" w:sz="0" w:space="0" w:color="auto"/>
                        <w:left w:val="none" w:sz="0" w:space="0" w:color="auto"/>
                        <w:bottom w:val="none" w:sz="0" w:space="0" w:color="auto"/>
                        <w:right w:val="none" w:sz="0" w:space="0" w:color="auto"/>
                      </w:divBdr>
                      <w:divsChild>
                        <w:div w:id="20782292">
                          <w:marLeft w:val="0"/>
                          <w:marRight w:val="0"/>
                          <w:marTop w:val="0"/>
                          <w:marBottom w:val="0"/>
                          <w:divBdr>
                            <w:top w:val="none" w:sz="0" w:space="0" w:color="auto"/>
                            <w:left w:val="none" w:sz="0" w:space="0" w:color="auto"/>
                            <w:bottom w:val="none" w:sz="0" w:space="0" w:color="auto"/>
                            <w:right w:val="none" w:sz="0" w:space="0" w:color="auto"/>
                          </w:divBdr>
                        </w:div>
                        <w:div w:id="895549497">
                          <w:marLeft w:val="0"/>
                          <w:marRight w:val="0"/>
                          <w:marTop w:val="0"/>
                          <w:marBottom w:val="0"/>
                          <w:divBdr>
                            <w:top w:val="single" w:sz="48" w:space="0" w:color="FFFFFF"/>
                            <w:left w:val="single" w:sz="48" w:space="0" w:color="FFFFFF"/>
                            <w:bottom w:val="single" w:sz="48" w:space="0" w:color="FFFFFF"/>
                            <w:right w:val="single" w:sz="36" w:space="0" w:color="FFFFFF"/>
                          </w:divBdr>
                          <w:divsChild>
                            <w:div w:id="285896166">
                              <w:marLeft w:val="0"/>
                              <w:marRight w:val="0"/>
                              <w:marTop w:val="0"/>
                              <w:marBottom w:val="120"/>
                              <w:divBdr>
                                <w:top w:val="single" w:sz="18" w:space="0" w:color="E0E9FD"/>
                                <w:left w:val="single" w:sz="18" w:space="0" w:color="E0E9FD"/>
                                <w:bottom w:val="single" w:sz="18" w:space="0" w:color="E0E9FD"/>
                                <w:right w:val="single" w:sz="18" w:space="0" w:color="E0E9FD"/>
                              </w:divBdr>
                            </w:div>
                            <w:div w:id="336540707">
                              <w:marLeft w:val="0"/>
                              <w:marRight w:val="0"/>
                              <w:marTop w:val="0"/>
                              <w:marBottom w:val="0"/>
                              <w:divBdr>
                                <w:top w:val="none" w:sz="0" w:space="0" w:color="auto"/>
                                <w:left w:val="none" w:sz="0" w:space="0" w:color="auto"/>
                                <w:bottom w:val="none" w:sz="0" w:space="0" w:color="auto"/>
                                <w:right w:val="none" w:sz="0" w:space="0" w:color="auto"/>
                              </w:divBdr>
                              <w:divsChild>
                                <w:div w:id="865828063">
                                  <w:marLeft w:val="0"/>
                                  <w:marRight w:val="0"/>
                                  <w:marTop w:val="0"/>
                                  <w:marBottom w:val="0"/>
                                  <w:divBdr>
                                    <w:top w:val="none" w:sz="0" w:space="0" w:color="auto"/>
                                    <w:left w:val="none" w:sz="0" w:space="0" w:color="auto"/>
                                    <w:bottom w:val="none" w:sz="0" w:space="0" w:color="auto"/>
                                    <w:right w:val="none" w:sz="0" w:space="0" w:color="auto"/>
                                  </w:divBdr>
                                  <w:divsChild>
                                    <w:div w:id="370351397">
                                      <w:marLeft w:val="0"/>
                                      <w:marRight w:val="0"/>
                                      <w:marTop w:val="0"/>
                                      <w:marBottom w:val="0"/>
                                      <w:divBdr>
                                        <w:top w:val="none" w:sz="0" w:space="0" w:color="auto"/>
                                        <w:left w:val="none" w:sz="0" w:space="0" w:color="auto"/>
                                        <w:bottom w:val="none" w:sz="0" w:space="0" w:color="auto"/>
                                        <w:right w:val="none" w:sz="0" w:space="0" w:color="auto"/>
                                      </w:divBdr>
                                      <w:divsChild>
                                        <w:div w:id="187836633">
                                          <w:marLeft w:val="0"/>
                                          <w:marRight w:val="0"/>
                                          <w:marTop w:val="0"/>
                                          <w:marBottom w:val="0"/>
                                          <w:divBdr>
                                            <w:top w:val="none" w:sz="0" w:space="0" w:color="auto"/>
                                            <w:left w:val="none" w:sz="0" w:space="0" w:color="auto"/>
                                            <w:bottom w:val="none" w:sz="0" w:space="0" w:color="auto"/>
                                            <w:right w:val="none" w:sz="0" w:space="0" w:color="auto"/>
                                          </w:divBdr>
                                          <w:divsChild>
                                            <w:div w:id="134297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4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55697">
      <w:bodyDiv w:val="1"/>
      <w:marLeft w:val="0"/>
      <w:marRight w:val="0"/>
      <w:marTop w:val="100"/>
      <w:marBottom w:val="100"/>
      <w:divBdr>
        <w:top w:val="none" w:sz="0" w:space="0" w:color="auto"/>
        <w:left w:val="none" w:sz="0" w:space="0" w:color="auto"/>
        <w:bottom w:val="none" w:sz="0" w:space="0" w:color="auto"/>
        <w:right w:val="none" w:sz="0" w:space="0" w:color="auto"/>
      </w:divBdr>
      <w:divsChild>
        <w:div w:id="791243465">
          <w:marLeft w:val="0"/>
          <w:marRight w:val="0"/>
          <w:marTop w:val="0"/>
          <w:marBottom w:val="0"/>
          <w:divBdr>
            <w:top w:val="none" w:sz="0" w:space="0" w:color="auto"/>
            <w:left w:val="none" w:sz="0" w:space="0" w:color="auto"/>
            <w:bottom w:val="single" w:sz="6" w:space="0" w:color="AFC4BF"/>
            <w:right w:val="none" w:sz="0" w:space="0" w:color="auto"/>
          </w:divBdr>
        </w:div>
      </w:divsChild>
    </w:div>
    <w:div w:id="1128280017">
      <w:bodyDiv w:val="1"/>
      <w:marLeft w:val="0"/>
      <w:marRight w:val="0"/>
      <w:marTop w:val="0"/>
      <w:marBottom w:val="0"/>
      <w:divBdr>
        <w:top w:val="none" w:sz="0" w:space="0" w:color="auto"/>
        <w:left w:val="none" w:sz="0" w:space="0" w:color="auto"/>
        <w:bottom w:val="none" w:sz="0" w:space="0" w:color="auto"/>
        <w:right w:val="none" w:sz="0" w:space="0" w:color="auto"/>
      </w:divBdr>
      <w:divsChild>
        <w:div w:id="1534687599">
          <w:marLeft w:val="3450"/>
          <w:marRight w:val="150"/>
          <w:marTop w:val="0"/>
          <w:marBottom w:val="0"/>
          <w:divBdr>
            <w:top w:val="none" w:sz="0" w:space="0" w:color="auto"/>
            <w:left w:val="none" w:sz="0" w:space="0" w:color="auto"/>
            <w:bottom w:val="none" w:sz="0" w:space="0" w:color="auto"/>
            <w:right w:val="none" w:sz="0" w:space="0" w:color="auto"/>
          </w:divBdr>
          <w:divsChild>
            <w:div w:id="154679833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30518772">
      <w:bodyDiv w:val="1"/>
      <w:marLeft w:val="0"/>
      <w:marRight w:val="0"/>
      <w:marTop w:val="0"/>
      <w:marBottom w:val="0"/>
      <w:divBdr>
        <w:top w:val="none" w:sz="0" w:space="0" w:color="auto"/>
        <w:left w:val="none" w:sz="0" w:space="0" w:color="auto"/>
        <w:bottom w:val="none" w:sz="0" w:space="0" w:color="auto"/>
        <w:right w:val="none" w:sz="0" w:space="0" w:color="auto"/>
      </w:divBdr>
    </w:div>
    <w:div w:id="1156262642">
      <w:bodyDiv w:val="1"/>
      <w:marLeft w:val="0"/>
      <w:marRight w:val="0"/>
      <w:marTop w:val="0"/>
      <w:marBottom w:val="0"/>
      <w:divBdr>
        <w:top w:val="none" w:sz="0" w:space="0" w:color="auto"/>
        <w:left w:val="none" w:sz="0" w:space="0" w:color="auto"/>
        <w:bottom w:val="none" w:sz="0" w:space="0" w:color="auto"/>
        <w:right w:val="none" w:sz="0" w:space="0" w:color="auto"/>
      </w:divBdr>
      <w:divsChild>
        <w:div w:id="733049539">
          <w:marLeft w:val="3450"/>
          <w:marRight w:val="150"/>
          <w:marTop w:val="0"/>
          <w:marBottom w:val="0"/>
          <w:divBdr>
            <w:top w:val="none" w:sz="0" w:space="0" w:color="auto"/>
            <w:left w:val="none" w:sz="0" w:space="0" w:color="auto"/>
            <w:bottom w:val="none" w:sz="0" w:space="0" w:color="auto"/>
            <w:right w:val="none" w:sz="0" w:space="0" w:color="auto"/>
          </w:divBdr>
          <w:divsChild>
            <w:div w:id="209728500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09604716">
      <w:bodyDiv w:val="1"/>
      <w:marLeft w:val="0"/>
      <w:marRight w:val="0"/>
      <w:marTop w:val="0"/>
      <w:marBottom w:val="0"/>
      <w:divBdr>
        <w:top w:val="none" w:sz="0" w:space="0" w:color="auto"/>
        <w:left w:val="none" w:sz="0" w:space="0" w:color="auto"/>
        <w:bottom w:val="none" w:sz="0" w:space="0" w:color="auto"/>
        <w:right w:val="none" w:sz="0" w:space="0" w:color="auto"/>
      </w:divBdr>
      <w:divsChild>
        <w:div w:id="2089038827">
          <w:marLeft w:val="0"/>
          <w:marRight w:val="0"/>
          <w:marTop w:val="180"/>
          <w:marBottom w:val="0"/>
          <w:divBdr>
            <w:top w:val="none" w:sz="0" w:space="0" w:color="auto"/>
            <w:left w:val="none" w:sz="0" w:space="0" w:color="auto"/>
            <w:bottom w:val="none" w:sz="0" w:space="0" w:color="auto"/>
            <w:right w:val="none" w:sz="0" w:space="0" w:color="auto"/>
          </w:divBdr>
          <w:divsChild>
            <w:div w:id="925304942">
              <w:marLeft w:val="0"/>
              <w:marRight w:val="0"/>
              <w:marTop w:val="0"/>
              <w:marBottom w:val="0"/>
              <w:divBdr>
                <w:top w:val="none" w:sz="0" w:space="0" w:color="auto"/>
                <w:left w:val="none" w:sz="0" w:space="0" w:color="auto"/>
                <w:bottom w:val="none" w:sz="0" w:space="0" w:color="auto"/>
                <w:right w:val="none" w:sz="0" w:space="0" w:color="auto"/>
              </w:divBdr>
              <w:divsChild>
                <w:div w:id="1112362765">
                  <w:marLeft w:val="2100"/>
                  <w:marRight w:val="0"/>
                  <w:marTop w:val="0"/>
                  <w:marBottom w:val="0"/>
                  <w:divBdr>
                    <w:top w:val="none" w:sz="0" w:space="0" w:color="auto"/>
                    <w:left w:val="none" w:sz="0" w:space="0" w:color="auto"/>
                    <w:bottom w:val="none" w:sz="0" w:space="0" w:color="auto"/>
                    <w:right w:val="none" w:sz="0" w:space="0" w:color="auto"/>
                  </w:divBdr>
                  <w:divsChild>
                    <w:div w:id="139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221861">
      <w:bodyDiv w:val="1"/>
      <w:marLeft w:val="0"/>
      <w:marRight w:val="0"/>
      <w:marTop w:val="0"/>
      <w:marBottom w:val="0"/>
      <w:divBdr>
        <w:top w:val="none" w:sz="0" w:space="0" w:color="auto"/>
        <w:left w:val="none" w:sz="0" w:space="0" w:color="auto"/>
        <w:bottom w:val="none" w:sz="0" w:space="0" w:color="auto"/>
        <w:right w:val="none" w:sz="0" w:space="0" w:color="auto"/>
      </w:divBdr>
      <w:divsChild>
        <w:div w:id="409041310">
          <w:marLeft w:val="0"/>
          <w:marRight w:val="0"/>
          <w:marTop w:val="180"/>
          <w:marBottom w:val="0"/>
          <w:divBdr>
            <w:top w:val="none" w:sz="0" w:space="0" w:color="auto"/>
            <w:left w:val="none" w:sz="0" w:space="0" w:color="auto"/>
            <w:bottom w:val="none" w:sz="0" w:space="0" w:color="auto"/>
            <w:right w:val="none" w:sz="0" w:space="0" w:color="auto"/>
          </w:divBdr>
          <w:divsChild>
            <w:div w:id="963996590">
              <w:marLeft w:val="0"/>
              <w:marRight w:val="0"/>
              <w:marTop w:val="0"/>
              <w:marBottom w:val="0"/>
              <w:divBdr>
                <w:top w:val="none" w:sz="0" w:space="0" w:color="auto"/>
                <w:left w:val="none" w:sz="0" w:space="0" w:color="auto"/>
                <w:bottom w:val="none" w:sz="0" w:space="0" w:color="auto"/>
                <w:right w:val="none" w:sz="0" w:space="0" w:color="auto"/>
              </w:divBdr>
              <w:divsChild>
                <w:div w:id="2058118606">
                  <w:marLeft w:val="2100"/>
                  <w:marRight w:val="0"/>
                  <w:marTop w:val="0"/>
                  <w:marBottom w:val="0"/>
                  <w:divBdr>
                    <w:top w:val="none" w:sz="0" w:space="0" w:color="auto"/>
                    <w:left w:val="none" w:sz="0" w:space="0" w:color="auto"/>
                    <w:bottom w:val="none" w:sz="0" w:space="0" w:color="auto"/>
                    <w:right w:val="none" w:sz="0" w:space="0" w:color="auto"/>
                  </w:divBdr>
                  <w:divsChild>
                    <w:div w:id="43910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05312">
      <w:bodyDiv w:val="1"/>
      <w:marLeft w:val="0"/>
      <w:marRight w:val="0"/>
      <w:marTop w:val="0"/>
      <w:marBottom w:val="0"/>
      <w:divBdr>
        <w:top w:val="none" w:sz="0" w:space="0" w:color="auto"/>
        <w:left w:val="none" w:sz="0" w:space="0" w:color="auto"/>
        <w:bottom w:val="none" w:sz="0" w:space="0" w:color="auto"/>
        <w:right w:val="none" w:sz="0" w:space="0" w:color="auto"/>
      </w:divBdr>
      <w:divsChild>
        <w:div w:id="536740302">
          <w:marLeft w:val="3450"/>
          <w:marRight w:val="150"/>
          <w:marTop w:val="0"/>
          <w:marBottom w:val="0"/>
          <w:divBdr>
            <w:top w:val="none" w:sz="0" w:space="0" w:color="auto"/>
            <w:left w:val="none" w:sz="0" w:space="0" w:color="auto"/>
            <w:bottom w:val="none" w:sz="0" w:space="0" w:color="auto"/>
            <w:right w:val="none" w:sz="0" w:space="0" w:color="auto"/>
          </w:divBdr>
          <w:divsChild>
            <w:div w:id="18012237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86421784">
      <w:bodyDiv w:val="1"/>
      <w:marLeft w:val="0"/>
      <w:marRight w:val="0"/>
      <w:marTop w:val="0"/>
      <w:marBottom w:val="0"/>
      <w:divBdr>
        <w:top w:val="none" w:sz="0" w:space="0" w:color="auto"/>
        <w:left w:val="none" w:sz="0" w:space="0" w:color="auto"/>
        <w:bottom w:val="none" w:sz="0" w:space="0" w:color="auto"/>
        <w:right w:val="none" w:sz="0" w:space="0" w:color="auto"/>
      </w:divBdr>
      <w:divsChild>
        <w:div w:id="2143427081">
          <w:marLeft w:val="3450"/>
          <w:marRight w:val="150"/>
          <w:marTop w:val="0"/>
          <w:marBottom w:val="0"/>
          <w:divBdr>
            <w:top w:val="none" w:sz="0" w:space="0" w:color="auto"/>
            <w:left w:val="none" w:sz="0" w:space="0" w:color="auto"/>
            <w:bottom w:val="none" w:sz="0" w:space="0" w:color="auto"/>
            <w:right w:val="none" w:sz="0" w:space="0" w:color="auto"/>
          </w:divBdr>
          <w:divsChild>
            <w:div w:id="184385561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90167136">
      <w:bodyDiv w:val="1"/>
      <w:marLeft w:val="0"/>
      <w:marRight w:val="0"/>
      <w:marTop w:val="0"/>
      <w:marBottom w:val="0"/>
      <w:divBdr>
        <w:top w:val="none" w:sz="0" w:space="0" w:color="auto"/>
        <w:left w:val="none" w:sz="0" w:space="0" w:color="auto"/>
        <w:bottom w:val="none" w:sz="0" w:space="0" w:color="auto"/>
        <w:right w:val="none" w:sz="0" w:space="0" w:color="auto"/>
      </w:divBdr>
      <w:divsChild>
        <w:div w:id="1120026203">
          <w:marLeft w:val="3450"/>
          <w:marRight w:val="150"/>
          <w:marTop w:val="0"/>
          <w:marBottom w:val="0"/>
          <w:divBdr>
            <w:top w:val="none" w:sz="0" w:space="0" w:color="auto"/>
            <w:left w:val="none" w:sz="0" w:space="0" w:color="auto"/>
            <w:bottom w:val="none" w:sz="0" w:space="0" w:color="auto"/>
            <w:right w:val="none" w:sz="0" w:space="0" w:color="auto"/>
          </w:divBdr>
          <w:divsChild>
            <w:div w:id="41281665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23660842">
      <w:bodyDiv w:val="1"/>
      <w:marLeft w:val="0"/>
      <w:marRight w:val="0"/>
      <w:marTop w:val="0"/>
      <w:marBottom w:val="0"/>
      <w:divBdr>
        <w:top w:val="none" w:sz="0" w:space="0" w:color="auto"/>
        <w:left w:val="none" w:sz="0" w:space="0" w:color="auto"/>
        <w:bottom w:val="none" w:sz="0" w:space="0" w:color="auto"/>
        <w:right w:val="none" w:sz="0" w:space="0" w:color="auto"/>
      </w:divBdr>
      <w:divsChild>
        <w:div w:id="312487040">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326055953">
      <w:bodyDiv w:val="1"/>
      <w:marLeft w:val="0"/>
      <w:marRight w:val="0"/>
      <w:marTop w:val="0"/>
      <w:marBottom w:val="0"/>
      <w:divBdr>
        <w:top w:val="none" w:sz="0" w:space="0" w:color="auto"/>
        <w:left w:val="none" w:sz="0" w:space="0" w:color="auto"/>
        <w:bottom w:val="none" w:sz="0" w:space="0" w:color="auto"/>
        <w:right w:val="none" w:sz="0" w:space="0" w:color="auto"/>
      </w:divBdr>
      <w:divsChild>
        <w:div w:id="214661701">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333727397">
      <w:bodyDiv w:val="1"/>
      <w:marLeft w:val="0"/>
      <w:marRight w:val="0"/>
      <w:marTop w:val="0"/>
      <w:marBottom w:val="0"/>
      <w:divBdr>
        <w:top w:val="none" w:sz="0" w:space="0" w:color="auto"/>
        <w:left w:val="none" w:sz="0" w:space="0" w:color="auto"/>
        <w:bottom w:val="none" w:sz="0" w:space="0" w:color="auto"/>
        <w:right w:val="none" w:sz="0" w:space="0" w:color="auto"/>
      </w:divBdr>
      <w:divsChild>
        <w:div w:id="1383213308">
          <w:marLeft w:val="0"/>
          <w:marRight w:val="240"/>
          <w:marTop w:val="0"/>
          <w:marBottom w:val="0"/>
          <w:divBdr>
            <w:top w:val="single" w:sz="2" w:space="0" w:color="C9C9C9"/>
            <w:left w:val="single" w:sz="6" w:space="0" w:color="C9C9C9"/>
            <w:bottom w:val="single" w:sz="6" w:space="0" w:color="C9C9C9"/>
            <w:right w:val="single" w:sz="6" w:space="0" w:color="C9C9C9"/>
          </w:divBdr>
          <w:divsChild>
            <w:div w:id="82820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70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34457338">
      <w:bodyDiv w:val="1"/>
      <w:marLeft w:val="0"/>
      <w:marRight w:val="0"/>
      <w:marTop w:val="0"/>
      <w:marBottom w:val="0"/>
      <w:divBdr>
        <w:top w:val="none" w:sz="0" w:space="0" w:color="auto"/>
        <w:left w:val="none" w:sz="0" w:space="0" w:color="auto"/>
        <w:bottom w:val="none" w:sz="0" w:space="0" w:color="auto"/>
        <w:right w:val="none" w:sz="0" w:space="0" w:color="auto"/>
      </w:divBdr>
      <w:divsChild>
        <w:div w:id="173342949">
          <w:marLeft w:val="0"/>
          <w:marRight w:val="0"/>
          <w:marTop w:val="60"/>
          <w:marBottom w:val="105"/>
          <w:divBdr>
            <w:top w:val="none" w:sz="0" w:space="0" w:color="auto"/>
            <w:left w:val="none" w:sz="0" w:space="0" w:color="auto"/>
            <w:bottom w:val="none" w:sz="0" w:space="0" w:color="auto"/>
            <w:right w:val="none" w:sz="0" w:space="0" w:color="auto"/>
          </w:divBdr>
          <w:divsChild>
            <w:div w:id="1580629925">
              <w:marLeft w:val="0"/>
              <w:marRight w:val="0"/>
              <w:marTop w:val="0"/>
              <w:marBottom w:val="0"/>
              <w:divBdr>
                <w:top w:val="none" w:sz="0" w:space="0" w:color="auto"/>
                <w:left w:val="none" w:sz="0" w:space="0" w:color="auto"/>
                <w:bottom w:val="none" w:sz="0" w:space="0" w:color="auto"/>
                <w:right w:val="none" w:sz="0" w:space="0" w:color="auto"/>
              </w:divBdr>
              <w:divsChild>
                <w:div w:id="464084751">
                  <w:marLeft w:val="0"/>
                  <w:marRight w:val="0"/>
                  <w:marTop w:val="0"/>
                  <w:marBottom w:val="0"/>
                  <w:divBdr>
                    <w:top w:val="none" w:sz="0" w:space="0" w:color="auto"/>
                    <w:left w:val="none" w:sz="0" w:space="0" w:color="auto"/>
                    <w:bottom w:val="none" w:sz="0" w:space="0" w:color="auto"/>
                    <w:right w:val="none" w:sz="0" w:space="0" w:color="auto"/>
                  </w:divBdr>
                  <w:divsChild>
                    <w:div w:id="1010639992">
                      <w:marLeft w:val="0"/>
                      <w:marRight w:val="0"/>
                      <w:marTop w:val="0"/>
                      <w:marBottom w:val="0"/>
                      <w:divBdr>
                        <w:top w:val="none" w:sz="0" w:space="0" w:color="auto"/>
                        <w:left w:val="none" w:sz="0" w:space="0" w:color="auto"/>
                        <w:bottom w:val="none" w:sz="0" w:space="0" w:color="auto"/>
                        <w:right w:val="none" w:sz="0" w:space="0" w:color="auto"/>
                      </w:divBdr>
                      <w:divsChild>
                        <w:div w:id="15657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039555">
      <w:bodyDiv w:val="1"/>
      <w:marLeft w:val="0"/>
      <w:marRight w:val="0"/>
      <w:marTop w:val="0"/>
      <w:marBottom w:val="0"/>
      <w:divBdr>
        <w:top w:val="none" w:sz="0" w:space="0" w:color="auto"/>
        <w:left w:val="none" w:sz="0" w:space="0" w:color="auto"/>
        <w:bottom w:val="none" w:sz="0" w:space="0" w:color="auto"/>
        <w:right w:val="none" w:sz="0" w:space="0" w:color="auto"/>
      </w:divBdr>
      <w:divsChild>
        <w:div w:id="1830368558">
          <w:marLeft w:val="3450"/>
          <w:marRight w:val="150"/>
          <w:marTop w:val="0"/>
          <w:marBottom w:val="0"/>
          <w:divBdr>
            <w:top w:val="none" w:sz="0" w:space="0" w:color="auto"/>
            <w:left w:val="none" w:sz="0" w:space="0" w:color="auto"/>
            <w:bottom w:val="none" w:sz="0" w:space="0" w:color="auto"/>
            <w:right w:val="none" w:sz="0" w:space="0" w:color="auto"/>
          </w:divBdr>
          <w:divsChild>
            <w:div w:id="209488825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51102929">
      <w:bodyDiv w:val="1"/>
      <w:marLeft w:val="0"/>
      <w:marRight w:val="0"/>
      <w:marTop w:val="0"/>
      <w:marBottom w:val="0"/>
      <w:divBdr>
        <w:top w:val="none" w:sz="0" w:space="0" w:color="auto"/>
        <w:left w:val="none" w:sz="0" w:space="0" w:color="auto"/>
        <w:bottom w:val="none" w:sz="0" w:space="0" w:color="auto"/>
        <w:right w:val="none" w:sz="0" w:space="0" w:color="auto"/>
      </w:divBdr>
      <w:divsChild>
        <w:div w:id="1400516894">
          <w:marLeft w:val="3450"/>
          <w:marRight w:val="150"/>
          <w:marTop w:val="0"/>
          <w:marBottom w:val="0"/>
          <w:divBdr>
            <w:top w:val="none" w:sz="0" w:space="0" w:color="auto"/>
            <w:left w:val="none" w:sz="0" w:space="0" w:color="auto"/>
            <w:bottom w:val="none" w:sz="0" w:space="0" w:color="auto"/>
            <w:right w:val="none" w:sz="0" w:space="0" w:color="auto"/>
          </w:divBdr>
          <w:divsChild>
            <w:div w:id="2566008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82679942">
      <w:bodyDiv w:val="1"/>
      <w:marLeft w:val="0"/>
      <w:marRight w:val="0"/>
      <w:marTop w:val="0"/>
      <w:marBottom w:val="0"/>
      <w:divBdr>
        <w:top w:val="none" w:sz="0" w:space="0" w:color="auto"/>
        <w:left w:val="none" w:sz="0" w:space="0" w:color="auto"/>
        <w:bottom w:val="none" w:sz="0" w:space="0" w:color="auto"/>
        <w:right w:val="none" w:sz="0" w:space="0" w:color="auto"/>
      </w:divBdr>
      <w:divsChild>
        <w:div w:id="510803591">
          <w:marLeft w:val="0"/>
          <w:marRight w:val="0"/>
          <w:marTop w:val="180"/>
          <w:marBottom w:val="0"/>
          <w:divBdr>
            <w:top w:val="none" w:sz="0" w:space="0" w:color="auto"/>
            <w:left w:val="none" w:sz="0" w:space="0" w:color="auto"/>
            <w:bottom w:val="none" w:sz="0" w:space="0" w:color="auto"/>
            <w:right w:val="none" w:sz="0" w:space="0" w:color="auto"/>
          </w:divBdr>
          <w:divsChild>
            <w:div w:id="255872610">
              <w:marLeft w:val="0"/>
              <w:marRight w:val="0"/>
              <w:marTop w:val="0"/>
              <w:marBottom w:val="0"/>
              <w:divBdr>
                <w:top w:val="none" w:sz="0" w:space="0" w:color="auto"/>
                <w:left w:val="none" w:sz="0" w:space="0" w:color="auto"/>
                <w:bottom w:val="none" w:sz="0" w:space="0" w:color="auto"/>
                <w:right w:val="none" w:sz="0" w:space="0" w:color="auto"/>
              </w:divBdr>
              <w:divsChild>
                <w:div w:id="837697387">
                  <w:marLeft w:val="2100"/>
                  <w:marRight w:val="0"/>
                  <w:marTop w:val="0"/>
                  <w:marBottom w:val="0"/>
                  <w:divBdr>
                    <w:top w:val="none" w:sz="0" w:space="0" w:color="auto"/>
                    <w:left w:val="none" w:sz="0" w:space="0" w:color="auto"/>
                    <w:bottom w:val="none" w:sz="0" w:space="0" w:color="auto"/>
                    <w:right w:val="none" w:sz="0" w:space="0" w:color="auto"/>
                  </w:divBdr>
                  <w:divsChild>
                    <w:div w:id="10051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988477">
      <w:bodyDiv w:val="1"/>
      <w:marLeft w:val="0"/>
      <w:marRight w:val="0"/>
      <w:marTop w:val="0"/>
      <w:marBottom w:val="0"/>
      <w:divBdr>
        <w:top w:val="none" w:sz="0" w:space="0" w:color="auto"/>
        <w:left w:val="none" w:sz="0" w:space="0" w:color="auto"/>
        <w:bottom w:val="none" w:sz="0" w:space="0" w:color="auto"/>
        <w:right w:val="none" w:sz="0" w:space="0" w:color="auto"/>
      </w:divBdr>
      <w:divsChild>
        <w:div w:id="1199778955">
          <w:marLeft w:val="0"/>
          <w:marRight w:val="0"/>
          <w:marTop w:val="180"/>
          <w:marBottom w:val="0"/>
          <w:divBdr>
            <w:top w:val="none" w:sz="0" w:space="0" w:color="auto"/>
            <w:left w:val="none" w:sz="0" w:space="0" w:color="auto"/>
            <w:bottom w:val="none" w:sz="0" w:space="0" w:color="auto"/>
            <w:right w:val="none" w:sz="0" w:space="0" w:color="auto"/>
          </w:divBdr>
          <w:divsChild>
            <w:div w:id="1285893248">
              <w:marLeft w:val="0"/>
              <w:marRight w:val="0"/>
              <w:marTop w:val="0"/>
              <w:marBottom w:val="0"/>
              <w:divBdr>
                <w:top w:val="none" w:sz="0" w:space="0" w:color="auto"/>
                <w:left w:val="none" w:sz="0" w:space="0" w:color="auto"/>
                <w:bottom w:val="none" w:sz="0" w:space="0" w:color="auto"/>
                <w:right w:val="none" w:sz="0" w:space="0" w:color="auto"/>
              </w:divBdr>
              <w:divsChild>
                <w:div w:id="498931492">
                  <w:marLeft w:val="2100"/>
                  <w:marRight w:val="0"/>
                  <w:marTop w:val="0"/>
                  <w:marBottom w:val="0"/>
                  <w:divBdr>
                    <w:top w:val="none" w:sz="0" w:space="0" w:color="auto"/>
                    <w:left w:val="none" w:sz="0" w:space="0" w:color="auto"/>
                    <w:bottom w:val="none" w:sz="0" w:space="0" w:color="auto"/>
                    <w:right w:val="none" w:sz="0" w:space="0" w:color="auto"/>
                  </w:divBdr>
                  <w:divsChild>
                    <w:div w:id="16123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5407">
      <w:bodyDiv w:val="1"/>
      <w:marLeft w:val="0"/>
      <w:marRight w:val="0"/>
      <w:marTop w:val="0"/>
      <w:marBottom w:val="0"/>
      <w:divBdr>
        <w:top w:val="none" w:sz="0" w:space="0" w:color="auto"/>
        <w:left w:val="none" w:sz="0" w:space="0" w:color="auto"/>
        <w:bottom w:val="none" w:sz="0" w:space="0" w:color="auto"/>
        <w:right w:val="none" w:sz="0" w:space="0" w:color="auto"/>
      </w:divBdr>
      <w:divsChild>
        <w:div w:id="2041008052">
          <w:marLeft w:val="3450"/>
          <w:marRight w:val="150"/>
          <w:marTop w:val="0"/>
          <w:marBottom w:val="0"/>
          <w:divBdr>
            <w:top w:val="none" w:sz="0" w:space="0" w:color="auto"/>
            <w:left w:val="none" w:sz="0" w:space="0" w:color="auto"/>
            <w:bottom w:val="none" w:sz="0" w:space="0" w:color="auto"/>
            <w:right w:val="none" w:sz="0" w:space="0" w:color="auto"/>
          </w:divBdr>
          <w:divsChild>
            <w:div w:id="1318848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406613477">
      <w:bodyDiv w:val="1"/>
      <w:marLeft w:val="0"/>
      <w:marRight w:val="0"/>
      <w:marTop w:val="0"/>
      <w:marBottom w:val="0"/>
      <w:divBdr>
        <w:top w:val="none" w:sz="0" w:space="0" w:color="auto"/>
        <w:left w:val="none" w:sz="0" w:space="0" w:color="auto"/>
        <w:bottom w:val="none" w:sz="0" w:space="0" w:color="auto"/>
        <w:right w:val="none" w:sz="0" w:space="0" w:color="auto"/>
      </w:divBdr>
      <w:divsChild>
        <w:div w:id="595751663">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410808012">
      <w:bodyDiv w:val="1"/>
      <w:marLeft w:val="0"/>
      <w:marRight w:val="0"/>
      <w:marTop w:val="0"/>
      <w:marBottom w:val="0"/>
      <w:divBdr>
        <w:top w:val="none" w:sz="0" w:space="0" w:color="auto"/>
        <w:left w:val="none" w:sz="0" w:space="0" w:color="auto"/>
        <w:bottom w:val="none" w:sz="0" w:space="0" w:color="auto"/>
        <w:right w:val="none" w:sz="0" w:space="0" w:color="auto"/>
      </w:divBdr>
      <w:divsChild>
        <w:div w:id="67849484">
          <w:marLeft w:val="0"/>
          <w:marRight w:val="0"/>
          <w:marTop w:val="180"/>
          <w:marBottom w:val="0"/>
          <w:divBdr>
            <w:top w:val="none" w:sz="0" w:space="0" w:color="auto"/>
            <w:left w:val="none" w:sz="0" w:space="0" w:color="auto"/>
            <w:bottom w:val="none" w:sz="0" w:space="0" w:color="auto"/>
            <w:right w:val="none" w:sz="0" w:space="0" w:color="auto"/>
          </w:divBdr>
          <w:divsChild>
            <w:div w:id="74861073">
              <w:marLeft w:val="0"/>
              <w:marRight w:val="0"/>
              <w:marTop w:val="0"/>
              <w:marBottom w:val="0"/>
              <w:divBdr>
                <w:top w:val="none" w:sz="0" w:space="0" w:color="auto"/>
                <w:left w:val="none" w:sz="0" w:space="0" w:color="auto"/>
                <w:bottom w:val="none" w:sz="0" w:space="0" w:color="auto"/>
                <w:right w:val="none" w:sz="0" w:space="0" w:color="auto"/>
              </w:divBdr>
              <w:divsChild>
                <w:div w:id="832575096">
                  <w:marLeft w:val="1410"/>
                  <w:marRight w:val="0"/>
                  <w:marTop w:val="0"/>
                  <w:marBottom w:val="0"/>
                  <w:divBdr>
                    <w:top w:val="none" w:sz="0" w:space="0" w:color="auto"/>
                    <w:left w:val="none" w:sz="0" w:space="0" w:color="auto"/>
                    <w:bottom w:val="none" w:sz="0" w:space="0" w:color="auto"/>
                    <w:right w:val="none" w:sz="0" w:space="0" w:color="auto"/>
                  </w:divBdr>
                  <w:divsChild>
                    <w:div w:id="620762969">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55297">
      <w:bodyDiv w:val="1"/>
      <w:marLeft w:val="0"/>
      <w:marRight w:val="0"/>
      <w:marTop w:val="0"/>
      <w:marBottom w:val="0"/>
      <w:divBdr>
        <w:top w:val="none" w:sz="0" w:space="0" w:color="auto"/>
        <w:left w:val="none" w:sz="0" w:space="0" w:color="auto"/>
        <w:bottom w:val="none" w:sz="0" w:space="0" w:color="auto"/>
        <w:right w:val="none" w:sz="0" w:space="0" w:color="auto"/>
      </w:divBdr>
      <w:divsChild>
        <w:div w:id="849175958">
          <w:marLeft w:val="0"/>
          <w:marRight w:val="0"/>
          <w:marTop w:val="180"/>
          <w:marBottom w:val="0"/>
          <w:divBdr>
            <w:top w:val="none" w:sz="0" w:space="0" w:color="auto"/>
            <w:left w:val="none" w:sz="0" w:space="0" w:color="auto"/>
            <w:bottom w:val="none" w:sz="0" w:space="0" w:color="auto"/>
            <w:right w:val="none" w:sz="0" w:space="0" w:color="auto"/>
          </w:divBdr>
          <w:divsChild>
            <w:div w:id="917128285">
              <w:marLeft w:val="0"/>
              <w:marRight w:val="0"/>
              <w:marTop w:val="0"/>
              <w:marBottom w:val="0"/>
              <w:divBdr>
                <w:top w:val="none" w:sz="0" w:space="0" w:color="auto"/>
                <w:left w:val="none" w:sz="0" w:space="0" w:color="auto"/>
                <w:bottom w:val="none" w:sz="0" w:space="0" w:color="auto"/>
                <w:right w:val="none" w:sz="0" w:space="0" w:color="auto"/>
              </w:divBdr>
              <w:divsChild>
                <w:div w:id="2076928579">
                  <w:marLeft w:val="2100"/>
                  <w:marRight w:val="0"/>
                  <w:marTop w:val="0"/>
                  <w:marBottom w:val="0"/>
                  <w:divBdr>
                    <w:top w:val="none" w:sz="0" w:space="0" w:color="auto"/>
                    <w:left w:val="none" w:sz="0" w:space="0" w:color="auto"/>
                    <w:bottom w:val="none" w:sz="0" w:space="0" w:color="auto"/>
                    <w:right w:val="none" w:sz="0" w:space="0" w:color="auto"/>
                  </w:divBdr>
                  <w:divsChild>
                    <w:div w:id="3503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87460">
      <w:bodyDiv w:val="1"/>
      <w:marLeft w:val="0"/>
      <w:marRight w:val="0"/>
      <w:marTop w:val="0"/>
      <w:marBottom w:val="0"/>
      <w:divBdr>
        <w:top w:val="none" w:sz="0" w:space="0" w:color="auto"/>
        <w:left w:val="none" w:sz="0" w:space="0" w:color="auto"/>
        <w:bottom w:val="none" w:sz="0" w:space="0" w:color="auto"/>
        <w:right w:val="none" w:sz="0" w:space="0" w:color="auto"/>
      </w:divBdr>
      <w:divsChild>
        <w:div w:id="841240704">
          <w:marLeft w:val="1152"/>
          <w:marRight w:val="0"/>
          <w:marTop w:val="0"/>
          <w:marBottom w:val="0"/>
          <w:divBdr>
            <w:top w:val="none" w:sz="0" w:space="0" w:color="auto"/>
            <w:left w:val="none" w:sz="0" w:space="0" w:color="auto"/>
            <w:bottom w:val="none" w:sz="0" w:space="0" w:color="auto"/>
            <w:right w:val="none" w:sz="0" w:space="0" w:color="auto"/>
          </w:divBdr>
          <w:divsChild>
            <w:div w:id="313292216">
              <w:marLeft w:val="576"/>
              <w:marRight w:val="0"/>
              <w:marTop w:val="0"/>
              <w:marBottom w:val="0"/>
              <w:divBdr>
                <w:top w:val="none" w:sz="0" w:space="0" w:color="auto"/>
                <w:left w:val="none" w:sz="0" w:space="0" w:color="auto"/>
                <w:bottom w:val="none" w:sz="0" w:space="0" w:color="auto"/>
                <w:right w:val="none" w:sz="0" w:space="0" w:color="auto"/>
              </w:divBdr>
            </w:div>
            <w:div w:id="782530064">
              <w:marLeft w:val="576"/>
              <w:marRight w:val="0"/>
              <w:marTop w:val="0"/>
              <w:marBottom w:val="0"/>
              <w:divBdr>
                <w:top w:val="none" w:sz="0" w:space="0" w:color="auto"/>
                <w:left w:val="none" w:sz="0" w:space="0" w:color="auto"/>
                <w:bottom w:val="none" w:sz="0" w:space="0" w:color="auto"/>
                <w:right w:val="none" w:sz="0" w:space="0" w:color="auto"/>
              </w:divBdr>
            </w:div>
            <w:div w:id="1684013514">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1468666279">
      <w:bodyDiv w:val="1"/>
      <w:marLeft w:val="0"/>
      <w:marRight w:val="0"/>
      <w:marTop w:val="0"/>
      <w:marBottom w:val="0"/>
      <w:divBdr>
        <w:top w:val="none" w:sz="0" w:space="0" w:color="auto"/>
        <w:left w:val="none" w:sz="0" w:space="0" w:color="auto"/>
        <w:bottom w:val="none" w:sz="0" w:space="0" w:color="auto"/>
        <w:right w:val="none" w:sz="0" w:space="0" w:color="auto"/>
      </w:divBdr>
      <w:divsChild>
        <w:div w:id="831603152">
          <w:marLeft w:val="3450"/>
          <w:marRight w:val="150"/>
          <w:marTop w:val="0"/>
          <w:marBottom w:val="0"/>
          <w:divBdr>
            <w:top w:val="none" w:sz="0" w:space="0" w:color="auto"/>
            <w:left w:val="none" w:sz="0" w:space="0" w:color="auto"/>
            <w:bottom w:val="none" w:sz="0" w:space="0" w:color="auto"/>
            <w:right w:val="none" w:sz="0" w:space="0" w:color="auto"/>
          </w:divBdr>
          <w:divsChild>
            <w:div w:id="173083785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35532670">
      <w:bodyDiv w:val="1"/>
      <w:marLeft w:val="0"/>
      <w:marRight w:val="0"/>
      <w:marTop w:val="0"/>
      <w:marBottom w:val="0"/>
      <w:divBdr>
        <w:top w:val="none" w:sz="0" w:space="0" w:color="auto"/>
        <w:left w:val="none" w:sz="0" w:space="0" w:color="auto"/>
        <w:bottom w:val="none" w:sz="0" w:space="0" w:color="auto"/>
        <w:right w:val="none" w:sz="0" w:space="0" w:color="auto"/>
      </w:divBdr>
      <w:divsChild>
        <w:div w:id="2002804999">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550722533">
      <w:bodyDiv w:val="1"/>
      <w:marLeft w:val="0"/>
      <w:marRight w:val="0"/>
      <w:marTop w:val="0"/>
      <w:marBottom w:val="0"/>
      <w:divBdr>
        <w:top w:val="none" w:sz="0" w:space="0" w:color="auto"/>
        <w:left w:val="none" w:sz="0" w:space="0" w:color="auto"/>
        <w:bottom w:val="none" w:sz="0" w:space="0" w:color="auto"/>
        <w:right w:val="none" w:sz="0" w:space="0" w:color="auto"/>
      </w:divBdr>
      <w:divsChild>
        <w:div w:id="2132244310">
          <w:marLeft w:val="3450"/>
          <w:marRight w:val="150"/>
          <w:marTop w:val="0"/>
          <w:marBottom w:val="0"/>
          <w:divBdr>
            <w:top w:val="none" w:sz="0" w:space="0" w:color="auto"/>
            <w:left w:val="none" w:sz="0" w:space="0" w:color="auto"/>
            <w:bottom w:val="none" w:sz="0" w:space="0" w:color="auto"/>
            <w:right w:val="none" w:sz="0" w:space="0" w:color="auto"/>
          </w:divBdr>
          <w:divsChild>
            <w:div w:id="61914440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52035026">
      <w:bodyDiv w:val="1"/>
      <w:marLeft w:val="0"/>
      <w:marRight w:val="0"/>
      <w:marTop w:val="0"/>
      <w:marBottom w:val="0"/>
      <w:divBdr>
        <w:top w:val="none" w:sz="0" w:space="0" w:color="auto"/>
        <w:left w:val="none" w:sz="0" w:space="0" w:color="auto"/>
        <w:bottom w:val="none" w:sz="0" w:space="0" w:color="auto"/>
        <w:right w:val="none" w:sz="0" w:space="0" w:color="auto"/>
      </w:divBdr>
      <w:divsChild>
        <w:div w:id="1577321671">
          <w:marLeft w:val="3450"/>
          <w:marRight w:val="150"/>
          <w:marTop w:val="0"/>
          <w:marBottom w:val="0"/>
          <w:divBdr>
            <w:top w:val="none" w:sz="0" w:space="0" w:color="auto"/>
            <w:left w:val="none" w:sz="0" w:space="0" w:color="auto"/>
            <w:bottom w:val="none" w:sz="0" w:space="0" w:color="auto"/>
            <w:right w:val="none" w:sz="0" w:space="0" w:color="auto"/>
          </w:divBdr>
          <w:divsChild>
            <w:div w:id="74167950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57668955">
      <w:bodyDiv w:val="1"/>
      <w:marLeft w:val="0"/>
      <w:marRight w:val="0"/>
      <w:marTop w:val="0"/>
      <w:marBottom w:val="0"/>
      <w:divBdr>
        <w:top w:val="none" w:sz="0" w:space="0" w:color="auto"/>
        <w:left w:val="none" w:sz="0" w:space="0" w:color="auto"/>
        <w:bottom w:val="none" w:sz="0" w:space="0" w:color="auto"/>
        <w:right w:val="none" w:sz="0" w:space="0" w:color="auto"/>
      </w:divBdr>
      <w:divsChild>
        <w:div w:id="2031753904">
          <w:marLeft w:val="3450"/>
          <w:marRight w:val="150"/>
          <w:marTop w:val="0"/>
          <w:marBottom w:val="0"/>
          <w:divBdr>
            <w:top w:val="none" w:sz="0" w:space="0" w:color="auto"/>
            <w:left w:val="none" w:sz="0" w:space="0" w:color="auto"/>
            <w:bottom w:val="none" w:sz="0" w:space="0" w:color="auto"/>
            <w:right w:val="none" w:sz="0" w:space="0" w:color="auto"/>
          </w:divBdr>
          <w:divsChild>
            <w:div w:id="188039066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90381744">
      <w:bodyDiv w:val="1"/>
      <w:marLeft w:val="0"/>
      <w:marRight w:val="0"/>
      <w:marTop w:val="0"/>
      <w:marBottom w:val="0"/>
      <w:divBdr>
        <w:top w:val="none" w:sz="0" w:space="0" w:color="auto"/>
        <w:left w:val="none" w:sz="0" w:space="0" w:color="auto"/>
        <w:bottom w:val="none" w:sz="0" w:space="0" w:color="auto"/>
        <w:right w:val="none" w:sz="0" w:space="0" w:color="auto"/>
      </w:divBdr>
      <w:divsChild>
        <w:div w:id="1892375868">
          <w:marLeft w:val="3450"/>
          <w:marRight w:val="150"/>
          <w:marTop w:val="0"/>
          <w:marBottom w:val="0"/>
          <w:divBdr>
            <w:top w:val="none" w:sz="0" w:space="0" w:color="auto"/>
            <w:left w:val="none" w:sz="0" w:space="0" w:color="auto"/>
            <w:bottom w:val="none" w:sz="0" w:space="0" w:color="auto"/>
            <w:right w:val="none" w:sz="0" w:space="0" w:color="auto"/>
          </w:divBdr>
          <w:divsChild>
            <w:div w:id="112631576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02687352">
      <w:bodyDiv w:val="1"/>
      <w:marLeft w:val="0"/>
      <w:marRight w:val="0"/>
      <w:marTop w:val="0"/>
      <w:marBottom w:val="0"/>
      <w:divBdr>
        <w:top w:val="none" w:sz="0" w:space="0" w:color="auto"/>
        <w:left w:val="none" w:sz="0" w:space="0" w:color="auto"/>
        <w:bottom w:val="none" w:sz="0" w:space="0" w:color="auto"/>
        <w:right w:val="none" w:sz="0" w:space="0" w:color="auto"/>
      </w:divBdr>
      <w:divsChild>
        <w:div w:id="1471093094">
          <w:marLeft w:val="3450"/>
          <w:marRight w:val="150"/>
          <w:marTop w:val="0"/>
          <w:marBottom w:val="0"/>
          <w:divBdr>
            <w:top w:val="none" w:sz="0" w:space="0" w:color="auto"/>
            <w:left w:val="none" w:sz="0" w:space="0" w:color="auto"/>
            <w:bottom w:val="none" w:sz="0" w:space="0" w:color="auto"/>
            <w:right w:val="none" w:sz="0" w:space="0" w:color="auto"/>
          </w:divBdr>
          <w:divsChild>
            <w:div w:id="193439010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14897644">
      <w:bodyDiv w:val="1"/>
      <w:marLeft w:val="0"/>
      <w:marRight w:val="0"/>
      <w:marTop w:val="0"/>
      <w:marBottom w:val="0"/>
      <w:divBdr>
        <w:top w:val="none" w:sz="0" w:space="0" w:color="auto"/>
        <w:left w:val="none" w:sz="0" w:space="0" w:color="auto"/>
        <w:bottom w:val="none" w:sz="0" w:space="0" w:color="auto"/>
        <w:right w:val="none" w:sz="0" w:space="0" w:color="auto"/>
      </w:divBdr>
      <w:divsChild>
        <w:div w:id="2099405596">
          <w:marLeft w:val="3450"/>
          <w:marRight w:val="150"/>
          <w:marTop w:val="0"/>
          <w:marBottom w:val="0"/>
          <w:divBdr>
            <w:top w:val="none" w:sz="0" w:space="0" w:color="auto"/>
            <w:left w:val="none" w:sz="0" w:space="0" w:color="auto"/>
            <w:bottom w:val="none" w:sz="0" w:space="0" w:color="auto"/>
            <w:right w:val="none" w:sz="0" w:space="0" w:color="auto"/>
          </w:divBdr>
          <w:divsChild>
            <w:div w:id="123555070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32587882">
      <w:bodyDiv w:val="1"/>
      <w:marLeft w:val="0"/>
      <w:marRight w:val="0"/>
      <w:marTop w:val="0"/>
      <w:marBottom w:val="0"/>
      <w:divBdr>
        <w:top w:val="none" w:sz="0" w:space="0" w:color="auto"/>
        <w:left w:val="none" w:sz="0" w:space="0" w:color="auto"/>
        <w:bottom w:val="none" w:sz="0" w:space="0" w:color="auto"/>
        <w:right w:val="none" w:sz="0" w:space="0" w:color="auto"/>
      </w:divBdr>
      <w:divsChild>
        <w:div w:id="235896153">
          <w:marLeft w:val="3450"/>
          <w:marRight w:val="150"/>
          <w:marTop w:val="0"/>
          <w:marBottom w:val="0"/>
          <w:divBdr>
            <w:top w:val="none" w:sz="0" w:space="0" w:color="auto"/>
            <w:left w:val="none" w:sz="0" w:space="0" w:color="auto"/>
            <w:bottom w:val="none" w:sz="0" w:space="0" w:color="auto"/>
            <w:right w:val="none" w:sz="0" w:space="0" w:color="auto"/>
          </w:divBdr>
          <w:divsChild>
            <w:div w:id="15538045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34797497">
      <w:bodyDiv w:val="1"/>
      <w:marLeft w:val="0"/>
      <w:marRight w:val="0"/>
      <w:marTop w:val="0"/>
      <w:marBottom w:val="0"/>
      <w:divBdr>
        <w:top w:val="none" w:sz="0" w:space="0" w:color="auto"/>
        <w:left w:val="none" w:sz="0" w:space="0" w:color="auto"/>
        <w:bottom w:val="none" w:sz="0" w:space="0" w:color="auto"/>
        <w:right w:val="none" w:sz="0" w:space="0" w:color="auto"/>
      </w:divBdr>
      <w:divsChild>
        <w:div w:id="44331185">
          <w:marLeft w:val="0"/>
          <w:marRight w:val="0"/>
          <w:marTop w:val="180"/>
          <w:marBottom w:val="0"/>
          <w:divBdr>
            <w:top w:val="none" w:sz="0" w:space="0" w:color="auto"/>
            <w:left w:val="none" w:sz="0" w:space="0" w:color="auto"/>
            <w:bottom w:val="none" w:sz="0" w:space="0" w:color="auto"/>
            <w:right w:val="none" w:sz="0" w:space="0" w:color="auto"/>
          </w:divBdr>
          <w:divsChild>
            <w:div w:id="715469541">
              <w:marLeft w:val="0"/>
              <w:marRight w:val="0"/>
              <w:marTop w:val="0"/>
              <w:marBottom w:val="0"/>
              <w:divBdr>
                <w:top w:val="none" w:sz="0" w:space="0" w:color="auto"/>
                <w:left w:val="none" w:sz="0" w:space="0" w:color="auto"/>
                <w:bottom w:val="none" w:sz="0" w:space="0" w:color="auto"/>
                <w:right w:val="none" w:sz="0" w:space="0" w:color="auto"/>
              </w:divBdr>
              <w:divsChild>
                <w:div w:id="2030795719">
                  <w:marLeft w:val="2100"/>
                  <w:marRight w:val="0"/>
                  <w:marTop w:val="0"/>
                  <w:marBottom w:val="0"/>
                  <w:divBdr>
                    <w:top w:val="none" w:sz="0" w:space="0" w:color="auto"/>
                    <w:left w:val="none" w:sz="0" w:space="0" w:color="auto"/>
                    <w:bottom w:val="none" w:sz="0" w:space="0" w:color="auto"/>
                    <w:right w:val="none" w:sz="0" w:space="0" w:color="auto"/>
                  </w:divBdr>
                  <w:divsChild>
                    <w:div w:id="3295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251405">
      <w:bodyDiv w:val="1"/>
      <w:marLeft w:val="0"/>
      <w:marRight w:val="0"/>
      <w:marTop w:val="0"/>
      <w:marBottom w:val="0"/>
      <w:divBdr>
        <w:top w:val="none" w:sz="0" w:space="0" w:color="auto"/>
        <w:left w:val="none" w:sz="0" w:space="0" w:color="auto"/>
        <w:bottom w:val="none" w:sz="0" w:space="0" w:color="auto"/>
        <w:right w:val="none" w:sz="0" w:space="0" w:color="auto"/>
      </w:divBdr>
      <w:divsChild>
        <w:div w:id="1120807741">
          <w:marLeft w:val="0"/>
          <w:marRight w:val="0"/>
          <w:marTop w:val="60"/>
          <w:marBottom w:val="105"/>
          <w:divBdr>
            <w:top w:val="none" w:sz="0" w:space="0" w:color="auto"/>
            <w:left w:val="none" w:sz="0" w:space="0" w:color="auto"/>
            <w:bottom w:val="none" w:sz="0" w:space="0" w:color="auto"/>
            <w:right w:val="none" w:sz="0" w:space="0" w:color="auto"/>
          </w:divBdr>
          <w:divsChild>
            <w:div w:id="1409501574">
              <w:marLeft w:val="0"/>
              <w:marRight w:val="0"/>
              <w:marTop w:val="0"/>
              <w:marBottom w:val="0"/>
              <w:divBdr>
                <w:top w:val="none" w:sz="0" w:space="0" w:color="auto"/>
                <w:left w:val="none" w:sz="0" w:space="0" w:color="auto"/>
                <w:bottom w:val="none" w:sz="0" w:space="0" w:color="auto"/>
                <w:right w:val="none" w:sz="0" w:space="0" w:color="auto"/>
              </w:divBdr>
              <w:divsChild>
                <w:div w:id="2059163983">
                  <w:marLeft w:val="0"/>
                  <w:marRight w:val="0"/>
                  <w:marTop w:val="0"/>
                  <w:marBottom w:val="0"/>
                  <w:divBdr>
                    <w:top w:val="none" w:sz="0" w:space="0" w:color="auto"/>
                    <w:left w:val="none" w:sz="0" w:space="0" w:color="auto"/>
                    <w:bottom w:val="none" w:sz="0" w:space="0" w:color="auto"/>
                    <w:right w:val="none" w:sz="0" w:space="0" w:color="auto"/>
                  </w:divBdr>
                  <w:divsChild>
                    <w:div w:id="1101997996">
                      <w:marLeft w:val="0"/>
                      <w:marRight w:val="0"/>
                      <w:marTop w:val="0"/>
                      <w:marBottom w:val="0"/>
                      <w:divBdr>
                        <w:top w:val="none" w:sz="0" w:space="0" w:color="auto"/>
                        <w:left w:val="none" w:sz="0" w:space="0" w:color="auto"/>
                        <w:bottom w:val="none" w:sz="0" w:space="0" w:color="auto"/>
                        <w:right w:val="none" w:sz="0" w:space="0" w:color="auto"/>
                      </w:divBdr>
                      <w:divsChild>
                        <w:div w:id="18877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253828">
      <w:bodyDiv w:val="1"/>
      <w:marLeft w:val="0"/>
      <w:marRight w:val="0"/>
      <w:marTop w:val="0"/>
      <w:marBottom w:val="0"/>
      <w:divBdr>
        <w:top w:val="none" w:sz="0" w:space="0" w:color="auto"/>
        <w:left w:val="none" w:sz="0" w:space="0" w:color="auto"/>
        <w:bottom w:val="none" w:sz="0" w:space="0" w:color="auto"/>
        <w:right w:val="none" w:sz="0" w:space="0" w:color="auto"/>
      </w:divBdr>
      <w:divsChild>
        <w:div w:id="1660814612">
          <w:marLeft w:val="1440"/>
          <w:marRight w:val="0"/>
          <w:marTop w:val="0"/>
          <w:marBottom w:val="0"/>
          <w:divBdr>
            <w:top w:val="none" w:sz="0" w:space="0" w:color="auto"/>
            <w:left w:val="none" w:sz="0" w:space="0" w:color="auto"/>
            <w:bottom w:val="none" w:sz="0" w:space="0" w:color="auto"/>
            <w:right w:val="none" w:sz="0" w:space="0" w:color="auto"/>
          </w:divBdr>
          <w:divsChild>
            <w:div w:id="158275899">
              <w:marLeft w:val="0"/>
              <w:marRight w:val="0"/>
              <w:marTop w:val="0"/>
              <w:marBottom w:val="0"/>
              <w:divBdr>
                <w:top w:val="none" w:sz="0" w:space="0" w:color="auto"/>
                <w:left w:val="none" w:sz="0" w:space="0" w:color="auto"/>
                <w:bottom w:val="none" w:sz="0" w:space="0" w:color="auto"/>
                <w:right w:val="none" w:sz="0" w:space="0" w:color="auto"/>
              </w:divBdr>
            </w:div>
            <w:div w:id="1958370873">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1678656234">
      <w:bodyDiv w:val="1"/>
      <w:marLeft w:val="0"/>
      <w:marRight w:val="0"/>
      <w:marTop w:val="0"/>
      <w:marBottom w:val="0"/>
      <w:divBdr>
        <w:top w:val="none" w:sz="0" w:space="0" w:color="auto"/>
        <w:left w:val="none" w:sz="0" w:space="0" w:color="auto"/>
        <w:bottom w:val="none" w:sz="0" w:space="0" w:color="auto"/>
        <w:right w:val="none" w:sz="0" w:space="0" w:color="auto"/>
      </w:divBdr>
      <w:divsChild>
        <w:div w:id="1681466760">
          <w:marLeft w:val="3450"/>
          <w:marRight w:val="150"/>
          <w:marTop w:val="0"/>
          <w:marBottom w:val="0"/>
          <w:divBdr>
            <w:top w:val="none" w:sz="0" w:space="0" w:color="auto"/>
            <w:left w:val="none" w:sz="0" w:space="0" w:color="auto"/>
            <w:bottom w:val="none" w:sz="0" w:space="0" w:color="auto"/>
            <w:right w:val="none" w:sz="0" w:space="0" w:color="auto"/>
          </w:divBdr>
          <w:divsChild>
            <w:div w:id="90390469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80040673">
      <w:bodyDiv w:val="1"/>
      <w:marLeft w:val="0"/>
      <w:marRight w:val="0"/>
      <w:marTop w:val="100"/>
      <w:marBottom w:val="100"/>
      <w:divBdr>
        <w:top w:val="none" w:sz="0" w:space="0" w:color="auto"/>
        <w:left w:val="none" w:sz="0" w:space="0" w:color="auto"/>
        <w:bottom w:val="none" w:sz="0" w:space="0" w:color="auto"/>
        <w:right w:val="none" w:sz="0" w:space="0" w:color="auto"/>
      </w:divBdr>
      <w:divsChild>
        <w:div w:id="1718704460">
          <w:marLeft w:val="0"/>
          <w:marRight w:val="0"/>
          <w:marTop w:val="0"/>
          <w:marBottom w:val="0"/>
          <w:divBdr>
            <w:top w:val="none" w:sz="0" w:space="0" w:color="auto"/>
            <w:left w:val="none" w:sz="0" w:space="0" w:color="auto"/>
            <w:bottom w:val="single" w:sz="6" w:space="0" w:color="AFC4BF"/>
            <w:right w:val="none" w:sz="0" w:space="0" w:color="auto"/>
          </w:divBdr>
        </w:div>
      </w:divsChild>
    </w:div>
    <w:div w:id="1721780303">
      <w:bodyDiv w:val="1"/>
      <w:marLeft w:val="0"/>
      <w:marRight w:val="0"/>
      <w:marTop w:val="0"/>
      <w:marBottom w:val="0"/>
      <w:divBdr>
        <w:top w:val="none" w:sz="0" w:space="0" w:color="auto"/>
        <w:left w:val="none" w:sz="0" w:space="0" w:color="auto"/>
        <w:bottom w:val="none" w:sz="0" w:space="0" w:color="auto"/>
        <w:right w:val="none" w:sz="0" w:space="0" w:color="auto"/>
      </w:divBdr>
      <w:divsChild>
        <w:div w:id="1458333145">
          <w:marLeft w:val="0"/>
          <w:marRight w:val="0"/>
          <w:marTop w:val="180"/>
          <w:marBottom w:val="0"/>
          <w:divBdr>
            <w:top w:val="none" w:sz="0" w:space="0" w:color="auto"/>
            <w:left w:val="none" w:sz="0" w:space="0" w:color="auto"/>
            <w:bottom w:val="none" w:sz="0" w:space="0" w:color="auto"/>
            <w:right w:val="none" w:sz="0" w:space="0" w:color="auto"/>
          </w:divBdr>
          <w:divsChild>
            <w:div w:id="551116422">
              <w:marLeft w:val="0"/>
              <w:marRight w:val="0"/>
              <w:marTop w:val="0"/>
              <w:marBottom w:val="0"/>
              <w:divBdr>
                <w:top w:val="none" w:sz="0" w:space="0" w:color="auto"/>
                <w:left w:val="none" w:sz="0" w:space="0" w:color="auto"/>
                <w:bottom w:val="none" w:sz="0" w:space="0" w:color="auto"/>
                <w:right w:val="none" w:sz="0" w:space="0" w:color="auto"/>
              </w:divBdr>
              <w:divsChild>
                <w:div w:id="1524514374">
                  <w:marLeft w:val="2100"/>
                  <w:marRight w:val="0"/>
                  <w:marTop w:val="0"/>
                  <w:marBottom w:val="0"/>
                  <w:divBdr>
                    <w:top w:val="none" w:sz="0" w:space="0" w:color="auto"/>
                    <w:left w:val="none" w:sz="0" w:space="0" w:color="auto"/>
                    <w:bottom w:val="none" w:sz="0" w:space="0" w:color="auto"/>
                    <w:right w:val="none" w:sz="0" w:space="0" w:color="auto"/>
                  </w:divBdr>
                  <w:divsChild>
                    <w:div w:id="18361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107083">
      <w:bodyDiv w:val="1"/>
      <w:marLeft w:val="0"/>
      <w:marRight w:val="0"/>
      <w:marTop w:val="100"/>
      <w:marBottom w:val="100"/>
      <w:divBdr>
        <w:top w:val="none" w:sz="0" w:space="0" w:color="auto"/>
        <w:left w:val="none" w:sz="0" w:space="0" w:color="auto"/>
        <w:bottom w:val="none" w:sz="0" w:space="0" w:color="auto"/>
        <w:right w:val="none" w:sz="0" w:space="0" w:color="auto"/>
      </w:divBdr>
      <w:divsChild>
        <w:div w:id="1981154791">
          <w:marLeft w:val="0"/>
          <w:marRight w:val="0"/>
          <w:marTop w:val="0"/>
          <w:marBottom w:val="0"/>
          <w:divBdr>
            <w:top w:val="none" w:sz="0" w:space="0" w:color="auto"/>
            <w:left w:val="none" w:sz="0" w:space="0" w:color="auto"/>
            <w:bottom w:val="single" w:sz="6" w:space="0" w:color="AFC4BF"/>
            <w:right w:val="none" w:sz="0" w:space="0" w:color="auto"/>
          </w:divBdr>
        </w:div>
      </w:divsChild>
    </w:div>
    <w:div w:id="1790513062">
      <w:bodyDiv w:val="1"/>
      <w:marLeft w:val="0"/>
      <w:marRight w:val="0"/>
      <w:marTop w:val="0"/>
      <w:marBottom w:val="0"/>
      <w:divBdr>
        <w:top w:val="none" w:sz="0" w:space="0" w:color="auto"/>
        <w:left w:val="none" w:sz="0" w:space="0" w:color="auto"/>
        <w:bottom w:val="none" w:sz="0" w:space="0" w:color="auto"/>
        <w:right w:val="none" w:sz="0" w:space="0" w:color="auto"/>
      </w:divBdr>
    </w:div>
    <w:div w:id="1821186550">
      <w:bodyDiv w:val="1"/>
      <w:marLeft w:val="0"/>
      <w:marRight w:val="0"/>
      <w:marTop w:val="0"/>
      <w:marBottom w:val="0"/>
      <w:divBdr>
        <w:top w:val="none" w:sz="0" w:space="0" w:color="auto"/>
        <w:left w:val="none" w:sz="0" w:space="0" w:color="auto"/>
        <w:bottom w:val="none" w:sz="0" w:space="0" w:color="auto"/>
        <w:right w:val="none" w:sz="0" w:space="0" w:color="auto"/>
      </w:divBdr>
      <w:divsChild>
        <w:div w:id="1397699971">
          <w:marLeft w:val="3450"/>
          <w:marRight w:val="150"/>
          <w:marTop w:val="0"/>
          <w:marBottom w:val="0"/>
          <w:divBdr>
            <w:top w:val="none" w:sz="0" w:space="0" w:color="auto"/>
            <w:left w:val="none" w:sz="0" w:space="0" w:color="auto"/>
            <w:bottom w:val="none" w:sz="0" w:space="0" w:color="auto"/>
            <w:right w:val="none" w:sz="0" w:space="0" w:color="auto"/>
          </w:divBdr>
          <w:divsChild>
            <w:div w:id="67862667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72842975">
      <w:bodyDiv w:val="1"/>
      <w:marLeft w:val="0"/>
      <w:marRight w:val="0"/>
      <w:marTop w:val="0"/>
      <w:marBottom w:val="0"/>
      <w:divBdr>
        <w:top w:val="none" w:sz="0" w:space="0" w:color="auto"/>
        <w:left w:val="none" w:sz="0" w:space="0" w:color="auto"/>
        <w:bottom w:val="none" w:sz="0" w:space="0" w:color="auto"/>
        <w:right w:val="none" w:sz="0" w:space="0" w:color="auto"/>
      </w:divBdr>
      <w:divsChild>
        <w:div w:id="960378923">
          <w:marLeft w:val="3450"/>
          <w:marRight w:val="150"/>
          <w:marTop w:val="0"/>
          <w:marBottom w:val="0"/>
          <w:divBdr>
            <w:top w:val="none" w:sz="0" w:space="0" w:color="auto"/>
            <w:left w:val="none" w:sz="0" w:space="0" w:color="auto"/>
            <w:bottom w:val="none" w:sz="0" w:space="0" w:color="auto"/>
            <w:right w:val="none" w:sz="0" w:space="0" w:color="auto"/>
          </w:divBdr>
          <w:divsChild>
            <w:div w:id="157420142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98391335">
      <w:bodyDiv w:val="1"/>
      <w:marLeft w:val="0"/>
      <w:marRight w:val="0"/>
      <w:marTop w:val="100"/>
      <w:marBottom w:val="100"/>
      <w:divBdr>
        <w:top w:val="none" w:sz="0" w:space="0" w:color="auto"/>
        <w:left w:val="none" w:sz="0" w:space="0" w:color="auto"/>
        <w:bottom w:val="none" w:sz="0" w:space="0" w:color="auto"/>
        <w:right w:val="none" w:sz="0" w:space="0" w:color="auto"/>
      </w:divBdr>
      <w:divsChild>
        <w:div w:id="1474248788">
          <w:marLeft w:val="0"/>
          <w:marRight w:val="0"/>
          <w:marTop w:val="0"/>
          <w:marBottom w:val="0"/>
          <w:divBdr>
            <w:top w:val="none" w:sz="0" w:space="0" w:color="auto"/>
            <w:left w:val="none" w:sz="0" w:space="0" w:color="auto"/>
            <w:bottom w:val="single" w:sz="6" w:space="0" w:color="AFC4BF"/>
            <w:right w:val="none" w:sz="0" w:space="0" w:color="auto"/>
          </w:divBdr>
        </w:div>
      </w:divsChild>
    </w:div>
    <w:div w:id="1957981377">
      <w:bodyDiv w:val="1"/>
      <w:marLeft w:val="0"/>
      <w:marRight w:val="0"/>
      <w:marTop w:val="100"/>
      <w:marBottom w:val="100"/>
      <w:divBdr>
        <w:top w:val="none" w:sz="0" w:space="0" w:color="auto"/>
        <w:left w:val="none" w:sz="0" w:space="0" w:color="auto"/>
        <w:bottom w:val="none" w:sz="0" w:space="0" w:color="auto"/>
        <w:right w:val="none" w:sz="0" w:space="0" w:color="auto"/>
      </w:divBdr>
    </w:div>
    <w:div w:id="1985306171">
      <w:bodyDiv w:val="1"/>
      <w:marLeft w:val="0"/>
      <w:marRight w:val="0"/>
      <w:marTop w:val="0"/>
      <w:marBottom w:val="0"/>
      <w:divBdr>
        <w:top w:val="none" w:sz="0" w:space="0" w:color="auto"/>
        <w:left w:val="none" w:sz="0" w:space="0" w:color="auto"/>
        <w:bottom w:val="none" w:sz="0" w:space="0" w:color="auto"/>
        <w:right w:val="none" w:sz="0" w:space="0" w:color="auto"/>
      </w:divBdr>
      <w:divsChild>
        <w:div w:id="1629120329">
          <w:marLeft w:val="1152"/>
          <w:marRight w:val="0"/>
          <w:marTop w:val="0"/>
          <w:marBottom w:val="0"/>
          <w:divBdr>
            <w:top w:val="none" w:sz="0" w:space="0" w:color="auto"/>
            <w:left w:val="none" w:sz="0" w:space="0" w:color="auto"/>
            <w:bottom w:val="none" w:sz="0" w:space="0" w:color="auto"/>
            <w:right w:val="none" w:sz="0" w:space="0" w:color="auto"/>
          </w:divBdr>
          <w:divsChild>
            <w:div w:id="145320242">
              <w:marLeft w:val="576"/>
              <w:marRight w:val="0"/>
              <w:marTop w:val="0"/>
              <w:marBottom w:val="0"/>
              <w:divBdr>
                <w:top w:val="none" w:sz="0" w:space="0" w:color="auto"/>
                <w:left w:val="none" w:sz="0" w:space="0" w:color="auto"/>
                <w:bottom w:val="none" w:sz="0" w:space="0" w:color="auto"/>
                <w:right w:val="none" w:sz="0" w:space="0" w:color="auto"/>
              </w:divBdr>
            </w:div>
            <w:div w:id="1114976635">
              <w:marLeft w:val="576"/>
              <w:marRight w:val="0"/>
              <w:marTop w:val="0"/>
              <w:marBottom w:val="0"/>
              <w:divBdr>
                <w:top w:val="none" w:sz="0" w:space="0" w:color="auto"/>
                <w:left w:val="none" w:sz="0" w:space="0" w:color="auto"/>
                <w:bottom w:val="none" w:sz="0" w:space="0" w:color="auto"/>
                <w:right w:val="none" w:sz="0" w:space="0" w:color="auto"/>
              </w:divBdr>
            </w:div>
            <w:div w:id="1638802080">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2036685530">
      <w:bodyDiv w:val="1"/>
      <w:marLeft w:val="0"/>
      <w:marRight w:val="0"/>
      <w:marTop w:val="0"/>
      <w:marBottom w:val="0"/>
      <w:divBdr>
        <w:top w:val="none" w:sz="0" w:space="0" w:color="auto"/>
        <w:left w:val="none" w:sz="0" w:space="0" w:color="auto"/>
        <w:bottom w:val="none" w:sz="0" w:space="0" w:color="auto"/>
        <w:right w:val="none" w:sz="0" w:space="0" w:color="auto"/>
      </w:divBdr>
      <w:divsChild>
        <w:div w:id="1235747093">
          <w:marLeft w:val="0"/>
          <w:marRight w:val="0"/>
          <w:marTop w:val="180"/>
          <w:marBottom w:val="0"/>
          <w:divBdr>
            <w:top w:val="none" w:sz="0" w:space="0" w:color="auto"/>
            <w:left w:val="none" w:sz="0" w:space="0" w:color="auto"/>
            <w:bottom w:val="none" w:sz="0" w:space="0" w:color="auto"/>
            <w:right w:val="none" w:sz="0" w:space="0" w:color="auto"/>
          </w:divBdr>
          <w:divsChild>
            <w:div w:id="550773621">
              <w:marLeft w:val="0"/>
              <w:marRight w:val="0"/>
              <w:marTop w:val="0"/>
              <w:marBottom w:val="0"/>
              <w:divBdr>
                <w:top w:val="none" w:sz="0" w:space="0" w:color="auto"/>
                <w:left w:val="none" w:sz="0" w:space="0" w:color="auto"/>
                <w:bottom w:val="none" w:sz="0" w:space="0" w:color="auto"/>
                <w:right w:val="none" w:sz="0" w:space="0" w:color="auto"/>
              </w:divBdr>
              <w:divsChild>
                <w:div w:id="975715890">
                  <w:marLeft w:val="2100"/>
                  <w:marRight w:val="0"/>
                  <w:marTop w:val="0"/>
                  <w:marBottom w:val="0"/>
                  <w:divBdr>
                    <w:top w:val="none" w:sz="0" w:space="0" w:color="auto"/>
                    <w:left w:val="none" w:sz="0" w:space="0" w:color="auto"/>
                    <w:bottom w:val="none" w:sz="0" w:space="0" w:color="auto"/>
                    <w:right w:val="none" w:sz="0" w:space="0" w:color="auto"/>
                  </w:divBdr>
                  <w:divsChild>
                    <w:div w:id="192914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319023">
      <w:bodyDiv w:val="1"/>
      <w:marLeft w:val="0"/>
      <w:marRight w:val="0"/>
      <w:marTop w:val="0"/>
      <w:marBottom w:val="0"/>
      <w:divBdr>
        <w:top w:val="none" w:sz="0" w:space="0" w:color="auto"/>
        <w:left w:val="none" w:sz="0" w:space="0" w:color="auto"/>
        <w:bottom w:val="none" w:sz="0" w:space="0" w:color="auto"/>
        <w:right w:val="none" w:sz="0" w:space="0" w:color="auto"/>
      </w:divBdr>
      <w:divsChild>
        <w:div w:id="2061393570">
          <w:marLeft w:val="3450"/>
          <w:marRight w:val="150"/>
          <w:marTop w:val="0"/>
          <w:marBottom w:val="0"/>
          <w:divBdr>
            <w:top w:val="none" w:sz="0" w:space="0" w:color="auto"/>
            <w:left w:val="none" w:sz="0" w:space="0" w:color="auto"/>
            <w:bottom w:val="none" w:sz="0" w:space="0" w:color="auto"/>
            <w:right w:val="none" w:sz="0" w:space="0" w:color="auto"/>
          </w:divBdr>
          <w:divsChild>
            <w:div w:id="24380926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135902415">
      <w:bodyDiv w:val="1"/>
      <w:marLeft w:val="0"/>
      <w:marRight w:val="0"/>
      <w:marTop w:val="0"/>
      <w:marBottom w:val="0"/>
      <w:divBdr>
        <w:top w:val="none" w:sz="0" w:space="0" w:color="auto"/>
        <w:left w:val="none" w:sz="0" w:space="0" w:color="auto"/>
        <w:bottom w:val="none" w:sz="0" w:space="0" w:color="auto"/>
        <w:right w:val="none" w:sz="0" w:space="0" w:color="auto"/>
      </w:divBdr>
      <w:divsChild>
        <w:div w:id="1843741317">
          <w:marLeft w:val="3450"/>
          <w:marRight w:val="150"/>
          <w:marTop w:val="0"/>
          <w:marBottom w:val="0"/>
          <w:divBdr>
            <w:top w:val="none" w:sz="0" w:space="0" w:color="auto"/>
            <w:left w:val="none" w:sz="0" w:space="0" w:color="auto"/>
            <w:bottom w:val="none" w:sz="0" w:space="0" w:color="auto"/>
            <w:right w:val="none" w:sz="0" w:space="0" w:color="auto"/>
          </w:divBdr>
          <w:divsChild>
            <w:div w:id="36414273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147235747">
      <w:bodyDiv w:val="1"/>
      <w:marLeft w:val="0"/>
      <w:marRight w:val="0"/>
      <w:marTop w:val="0"/>
      <w:marBottom w:val="0"/>
      <w:divBdr>
        <w:top w:val="none" w:sz="0" w:space="0" w:color="auto"/>
        <w:left w:val="none" w:sz="0" w:space="0" w:color="auto"/>
        <w:bottom w:val="none" w:sz="0" w:space="0" w:color="auto"/>
        <w:right w:val="none" w:sz="0" w:space="0" w:color="auto"/>
      </w:divBdr>
      <w:divsChild>
        <w:div w:id="1952055336">
          <w:marLeft w:val="3450"/>
          <w:marRight w:val="150"/>
          <w:marTop w:val="0"/>
          <w:marBottom w:val="0"/>
          <w:divBdr>
            <w:top w:val="none" w:sz="0" w:space="0" w:color="auto"/>
            <w:left w:val="none" w:sz="0" w:space="0" w:color="auto"/>
            <w:bottom w:val="none" w:sz="0" w:space="0" w:color="auto"/>
            <w:right w:val="none" w:sz="0" w:space="0" w:color="auto"/>
          </w:divBdr>
          <w:divsChild>
            <w:div w:id="15124051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payment/prospective-payment-systems/acute-inpatient-pps/fy-2023-ipps-final-rule-home-pa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45EAD-93EF-4DD0-9BA5-416408889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1879</Words>
  <Characters>10713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12567</CharactersWithSpaces>
  <SharedDoc>false</SharedDoc>
  <HLinks>
    <vt:vector size="48" baseType="variant">
      <vt:variant>
        <vt:i4>3276845</vt:i4>
      </vt:variant>
      <vt:variant>
        <vt:i4>45</vt:i4>
      </vt:variant>
      <vt:variant>
        <vt:i4>0</vt:i4>
      </vt:variant>
      <vt:variant>
        <vt:i4>5</vt:i4>
      </vt:variant>
      <vt:variant>
        <vt:lpwstr>http://www.ncbi.nlm.nih.gov/pubmed/19929031</vt:lpwstr>
      </vt:variant>
      <vt:variant>
        <vt:lpwstr/>
      </vt:variant>
      <vt:variant>
        <vt:i4>3276845</vt:i4>
      </vt:variant>
      <vt:variant>
        <vt:i4>42</vt:i4>
      </vt:variant>
      <vt:variant>
        <vt:i4>0</vt:i4>
      </vt:variant>
      <vt:variant>
        <vt:i4>5</vt:i4>
      </vt:variant>
      <vt:variant>
        <vt:lpwstr>http://www.ncbi.nlm.nih.gov/pubmed/19929031</vt:lpwstr>
      </vt:variant>
      <vt:variant>
        <vt:lpwstr/>
      </vt:variant>
      <vt:variant>
        <vt:i4>7274617</vt:i4>
      </vt:variant>
      <vt:variant>
        <vt:i4>39</vt:i4>
      </vt:variant>
      <vt:variant>
        <vt:i4>0</vt:i4>
      </vt:variant>
      <vt:variant>
        <vt:i4>5</vt:i4>
      </vt:variant>
      <vt:variant>
        <vt:lpwstr>http://www.acep.org/Clinical---Practice-Management/Clinical-Policy--Critical-Issues-in-the-Evaluation-and-Management-of-Adult-Patients-Presenting-to-the-Emergency-Department-with-Syncope/</vt:lpwstr>
      </vt:variant>
      <vt:variant>
        <vt:lpwstr/>
      </vt:variant>
      <vt:variant>
        <vt:i4>5832708</vt:i4>
      </vt:variant>
      <vt:variant>
        <vt:i4>36</vt:i4>
      </vt:variant>
      <vt:variant>
        <vt:i4>0</vt:i4>
      </vt:variant>
      <vt:variant>
        <vt:i4>5</vt:i4>
      </vt:variant>
      <vt:variant>
        <vt:lpwstr>https://nf.aafp.org/Shop/single-issue-cme/afp-september-15-2011-online-access</vt:lpwstr>
      </vt:variant>
      <vt:variant>
        <vt:lpwstr/>
      </vt:variant>
      <vt:variant>
        <vt:i4>4325440</vt:i4>
      </vt:variant>
      <vt:variant>
        <vt:i4>33</vt:i4>
      </vt:variant>
      <vt:variant>
        <vt:i4>0</vt:i4>
      </vt:variant>
      <vt:variant>
        <vt:i4>5</vt:i4>
      </vt:variant>
      <vt:variant>
        <vt:lpwstr>http://www.aafp.org/journals/afp/subscriptions/rates.html</vt:lpwstr>
      </vt:variant>
      <vt:variant>
        <vt:lpwstr/>
      </vt:variant>
      <vt:variant>
        <vt:i4>4325440</vt:i4>
      </vt:variant>
      <vt:variant>
        <vt:i4>30</vt:i4>
      </vt:variant>
      <vt:variant>
        <vt:i4>0</vt:i4>
      </vt:variant>
      <vt:variant>
        <vt:i4>5</vt:i4>
      </vt:variant>
      <vt:variant>
        <vt:lpwstr>http://www.aafp.org/journals/afp/subscriptions/rates.html</vt:lpwstr>
      </vt:variant>
      <vt:variant>
        <vt:lpwstr/>
      </vt:variant>
      <vt:variant>
        <vt:i4>5832708</vt:i4>
      </vt:variant>
      <vt:variant>
        <vt:i4>27</vt:i4>
      </vt:variant>
      <vt:variant>
        <vt:i4>0</vt:i4>
      </vt:variant>
      <vt:variant>
        <vt:i4>5</vt:i4>
      </vt:variant>
      <vt:variant>
        <vt:lpwstr>https://nf.aafp.org/Shop/single-issue-cme/afp-september-15-2011-online-access</vt:lpwstr>
      </vt:variant>
      <vt:variant>
        <vt:lpwstr/>
      </vt:variant>
      <vt:variant>
        <vt:i4>7077985</vt:i4>
      </vt:variant>
      <vt:variant>
        <vt:i4>24</vt:i4>
      </vt:variant>
      <vt:variant>
        <vt:i4>0</vt:i4>
      </vt:variant>
      <vt:variant>
        <vt:i4>5</vt:i4>
      </vt:variant>
      <vt:variant>
        <vt:lpwstr>http://www.aafp.org/cgi-bin/lg.pl?redirect=http://www.aafp.org/afp/2011/0915/p640.html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Bayliss</dc:creator>
  <cp:keywords/>
  <cp:lastModifiedBy>Denise Wilson</cp:lastModifiedBy>
  <cp:revision>4</cp:revision>
  <cp:lastPrinted>2009-11-22T03:45:00Z</cp:lastPrinted>
  <dcterms:created xsi:type="dcterms:W3CDTF">2024-02-08T17:04:00Z</dcterms:created>
  <dcterms:modified xsi:type="dcterms:W3CDTF">2024-02-09T20:48:00Z</dcterms:modified>
</cp:coreProperties>
</file>